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8"/>
        <w:ind w:left="311" w:right="319" w:firstLine="0"/>
        <w:jc w:val="center"/>
        <w:rPr>
          <w:b/>
          <w:sz w:val="36"/>
        </w:rPr>
      </w:pPr>
      <w:r>
        <w:rPr>
          <w:b/>
          <w:sz w:val="36"/>
        </w:rPr>
        <w:t>LEI DE DIRETRIZES ORÇAMENTÁRIAS – 2021</w:t>
      </w:r>
    </w:p>
    <w:p>
      <w:pPr>
        <w:spacing w:before="346"/>
        <w:ind w:left="318" w:right="318" w:firstLine="0"/>
        <w:jc w:val="center"/>
        <w:rPr>
          <w:b/>
          <w:sz w:val="32"/>
        </w:rPr>
      </w:pPr>
      <w:r>
        <w:rPr>
          <w:b/>
          <w:sz w:val="32"/>
        </w:rPr>
        <w:t>ANEXO DE METAS FISCAIS</w:t>
      </w:r>
    </w:p>
    <w:p>
      <w:pPr>
        <w:pStyle w:val="BodyText"/>
        <w:spacing w:before="9"/>
        <w:rPr>
          <w:b/>
          <w:sz w:val="31"/>
        </w:rPr>
      </w:pPr>
    </w:p>
    <w:p>
      <w:pPr>
        <w:spacing w:before="0"/>
        <w:ind w:left="318" w:right="319" w:firstLine="0"/>
        <w:jc w:val="center"/>
        <w:rPr>
          <w:b/>
          <w:sz w:val="28"/>
        </w:rPr>
      </w:pPr>
      <w:r>
        <w:rPr>
          <w:b/>
          <w:sz w:val="28"/>
        </w:rPr>
        <w:t>MEMÓRIA E METODOLOGIA DE CÁLCULO DAS METAS ANUAIS</w:t>
      </w:r>
    </w:p>
    <w:p>
      <w:pPr>
        <w:pStyle w:val="BodyText"/>
        <w:spacing w:before="11"/>
        <w:rPr>
          <w:b/>
          <w:sz w:val="39"/>
        </w:rPr>
      </w:pPr>
    </w:p>
    <w:p>
      <w:pPr>
        <w:pStyle w:val="BodyText"/>
        <w:ind w:left="104" w:right="113" w:firstLine="708"/>
        <w:jc w:val="both"/>
      </w:pPr>
      <w:r>
        <w:rPr/>
        <w:t>As metas anuais de Receitas e Despesas foram calculadas a partir da avaliação da arrecadação no exercício de 2019, da estimativa de arrecadação constante na Lei de Orçamento de 2020 e da análise do desempenho da efetiva arrecadação das receitas no decorrer do exercício de 2020.</w:t>
      </w:r>
    </w:p>
    <w:p>
      <w:pPr>
        <w:pStyle w:val="BodyText"/>
      </w:pPr>
    </w:p>
    <w:p>
      <w:pPr>
        <w:pStyle w:val="BodyText"/>
        <w:ind w:left="104" w:right="112" w:firstLine="708"/>
        <w:jc w:val="both"/>
      </w:pPr>
      <w:r>
        <w:rPr/>
        <w:t>Além das análises acima, examinou-se a tendência para realização das receitas para o restante do exercício de 2020 e as alterações na legislação tributária com efeitos sobre a arrecadação municipal. Ademais, as previsões de arrecadação constantes do projeto da Lei de Diretrizes Orçamentárias para 2021 estão em conformidade com as premissas utilizadas na elaboração do Plano Plurianual 2018- 2021.</w:t>
      </w:r>
    </w:p>
    <w:p>
      <w:pPr>
        <w:pStyle w:val="BodyText"/>
      </w:pPr>
    </w:p>
    <w:p>
      <w:pPr>
        <w:pStyle w:val="BodyText"/>
        <w:ind w:left="104" w:right="117" w:firstLine="708"/>
        <w:jc w:val="both"/>
      </w:pPr>
      <w:r>
        <w:rPr/>
        <w:t>As estimativas para o ano de 2021 contemplam os recursos oriundos de programas governamentais da União e do Estado, captação de recursos por meio de Fundos Municipais, Convênios com Órgãos da Administração Pública Federal e Estadual e com entidades privadas.</w:t>
      </w:r>
    </w:p>
    <w:p>
      <w:pPr>
        <w:pStyle w:val="BodyText"/>
      </w:pPr>
    </w:p>
    <w:p>
      <w:pPr>
        <w:pStyle w:val="BodyText"/>
        <w:ind w:left="104" w:right="116" w:firstLine="708"/>
        <w:jc w:val="both"/>
      </w:pPr>
      <w:r>
        <w:rPr/>
        <w:t>Também estão incluídos recursos que deverão ingressar por meio de convênios, termos de compromissos ou congêneres a serem firmados com órgãos e entidades da Administração Pública Federal.</w:t>
      </w:r>
    </w:p>
    <w:p>
      <w:pPr>
        <w:pStyle w:val="BodyText"/>
      </w:pPr>
    </w:p>
    <w:p>
      <w:pPr>
        <w:pStyle w:val="BodyText"/>
        <w:ind w:left="104" w:right="116" w:firstLine="708"/>
        <w:jc w:val="both"/>
      </w:pPr>
      <w:r>
        <w:rPr/>
        <w:t>Em termos macroeconômicos, as projeções das metas fiscais para o período de 2021 a 2023 consideraram os seguintes indicadores:</w:t>
      </w:r>
    </w:p>
    <w:p>
      <w:pPr>
        <w:pStyle w:val="BodyText"/>
        <w:rPr>
          <w:sz w:val="26"/>
        </w:rPr>
      </w:pPr>
    </w:p>
    <w:p>
      <w:pPr>
        <w:pStyle w:val="Heading1"/>
        <w:spacing w:before="231"/>
        <w:rPr>
          <w:u w:val="none"/>
        </w:rPr>
      </w:pPr>
      <w:bookmarkStart w:name="BASE PIB / RS – 2017 a 2023" w:id="1"/>
      <w:bookmarkEnd w:id="1"/>
      <w:r>
        <w:rPr>
          <w:b w:val="0"/>
          <w:u w:val="none"/>
        </w:rPr>
      </w:r>
      <w:r>
        <w:rPr>
          <w:u w:val="single"/>
        </w:rPr>
        <w:t>BASE PIB / RS – 2017 a 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2017 = R$</w:t>
      </w:r>
      <w:r>
        <w:rPr>
          <w:spacing w:val="-18"/>
          <w:sz w:val="20"/>
        </w:rPr>
        <w:t> </w:t>
      </w:r>
      <w:r>
        <w:rPr>
          <w:sz w:val="20"/>
        </w:rPr>
        <w:t>430.884.000,00</w:t>
      </w:r>
    </w:p>
    <w:p>
      <w:pPr>
        <w:pStyle w:val="BodyText"/>
        <w:rPr>
          <w:sz w:val="20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2018 = R$</w:t>
      </w:r>
      <w:r>
        <w:rPr>
          <w:spacing w:val="-18"/>
          <w:sz w:val="20"/>
        </w:rPr>
        <w:t> </w:t>
      </w:r>
      <w:r>
        <w:rPr>
          <w:sz w:val="20"/>
        </w:rPr>
        <w:t>460.438.000,00</w:t>
      </w:r>
    </w:p>
    <w:p>
      <w:pPr>
        <w:pStyle w:val="BodyText"/>
        <w:rPr>
          <w:sz w:val="20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2019 = R$</w:t>
      </w:r>
      <w:r>
        <w:rPr>
          <w:spacing w:val="-18"/>
          <w:sz w:val="20"/>
        </w:rPr>
        <w:t> </w:t>
      </w:r>
      <w:r>
        <w:rPr>
          <w:sz w:val="20"/>
        </w:rPr>
        <w:t>495.886.000,00</w:t>
      </w:r>
    </w:p>
    <w:p>
      <w:pPr>
        <w:pStyle w:val="BodyText"/>
        <w:rPr>
          <w:sz w:val="20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2020 = R$</w:t>
      </w:r>
      <w:r>
        <w:rPr>
          <w:spacing w:val="-18"/>
          <w:sz w:val="20"/>
        </w:rPr>
        <w:t> </w:t>
      </w:r>
      <w:r>
        <w:rPr>
          <w:sz w:val="20"/>
        </w:rPr>
        <w:t>531.134.000,00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938" w:footer="1572" w:top="2660" w:bottom="176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94"/>
        <w:ind w:left="811" w:right="0" w:firstLine="0"/>
        <w:jc w:val="left"/>
        <w:rPr>
          <w:sz w:val="20"/>
        </w:rPr>
      </w:pPr>
      <w:r>
        <w:rPr>
          <w:sz w:val="20"/>
        </w:rPr>
        <w:t>2021 = R$</w:t>
      </w:r>
      <w:r>
        <w:rPr>
          <w:spacing w:val="-20"/>
          <w:sz w:val="20"/>
        </w:rPr>
        <w:t> </w:t>
      </w:r>
      <w:r>
        <w:rPr>
          <w:sz w:val="20"/>
        </w:rPr>
        <w:t>515.905.260.000,00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2022 = R$</w:t>
      </w:r>
      <w:r>
        <w:rPr>
          <w:spacing w:val="-20"/>
          <w:sz w:val="20"/>
        </w:rPr>
        <w:t> </w:t>
      </w:r>
      <w:r>
        <w:rPr>
          <w:sz w:val="20"/>
        </w:rPr>
        <w:t>533.961.940.000,00</w:t>
      </w:r>
    </w:p>
    <w:p>
      <w:pPr>
        <w:pStyle w:val="BodyText"/>
        <w:rPr>
          <w:sz w:val="20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2023 = R$</w:t>
      </w:r>
      <w:r>
        <w:rPr>
          <w:spacing w:val="-20"/>
          <w:sz w:val="20"/>
        </w:rPr>
        <w:t> </w:t>
      </w:r>
      <w:r>
        <w:rPr>
          <w:sz w:val="20"/>
        </w:rPr>
        <w:t>552.652.600.000,00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rPr>
          <w:u w:val="none"/>
        </w:rPr>
      </w:pPr>
      <w:bookmarkStart w:name="Variações PIB / RS (2021 a 2023)" w:id="2"/>
      <w:bookmarkEnd w:id="2"/>
      <w:r>
        <w:rPr>
          <w:b w:val="0"/>
          <w:u w:val="none"/>
        </w:rPr>
      </w:r>
      <w:r>
        <w:rPr>
          <w:u w:val="single"/>
        </w:rPr>
        <w:t>Variações PIB / RS (2021 a 2023)</w:t>
      </w:r>
    </w:p>
    <w:p>
      <w:pPr>
        <w:pStyle w:val="BodyText"/>
        <w:spacing w:before="9"/>
        <w:rPr>
          <w:b/>
          <w:sz w:val="11"/>
        </w:rPr>
      </w:pPr>
    </w:p>
    <w:p>
      <w:pPr>
        <w:spacing w:before="94"/>
        <w:ind w:left="811" w:right="0" w:firstLine="0"/>
        <w:jc w:val="left"/>
        <w:rPr>
          <w:sz w:val="20"/>
        </w:rPr>
      </w:pPr>
      <w:r>
        <w:rPr>
          <w:sz w:val="20"/>
        </w:rPr>
        <w:t>2021 =</w:t>
      </w:r>
      <w:r>
        <w:rPr>
          <w:spacing w:val="-7"/>
          <w:sz w:val="20"/>
        </w:rPr>
        <w:t> </w:t>
      </w:r>
      <w:r>
        <w:rPr>
          <w:sz w:val="20"/>
        </w:rPr>
        <w:t>3,3%</w:t>
      </w:r>
    </w:p>
    <w:p>
      <w:pPr>
        <w:pStyle w:val="BodyText"/>
        <w:rPr>
          <w:sz w:val="20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2022 =</w:t>
      </w:r>
      <w:r>
        <w:rPr>
          <w:spacing w:val="-7"/>
          <w:sz w:val="20"/>
        </w:rPr>
        <w:t> </w:t>
      </w:r>
      <w:r>
        <w:rPr>
          <w:sz w:val="20"/>
        </w:rPr>
        <w:t>2,4%</w:t>
      </w:r>
    </w:p>
    <w:p>
      <w:pPr>
        <w:pStyle w:val="BodyText"/>
        <w:rPr>
          <w:sz w:val="20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2023 =</w:t>
      </w:r>
      <w:r>
        <w:rPr>
          <w:spacing w:val="-7"/>
          <w:sz w:val="20"/>
        </w:rPr>
        <w:t> </w:t>
      </w:r>
      <w:r>
        <w:rPr>
          <w:sz w:val="20"/>
        </w:rPr>
        <w:t>2,5%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rPr>
          <w:u w:val="none"/>
        </w:rPr>
      </w:pPr>
      <w:bookmarkStart w:name="Inflação - IPCA (2021 a 2023)" w:id="3"/>
      <w:bookmarkEnd w:id="3"/>
      <w:r>
        <w:rPr>
          <w:b w:val="0"/>
          <w:u w:val="none"/>
        </w:rPr>
      </w:r>
      <w:r>
        <w:rPr>
          <w:u w:val="single"/>
        </w:rPr>
        <w:t>Inflação - IPCA (2021 a 2023)</w:t>
      </w:r>
    </w:p>
    <w:p>
      <w:pPr>
        <w:pStyle w:val="BodyText"/>
        <w:spacing w:before="10"/>
        <w:rPr>
          <w:b/>
          <w:sz w:val="11"/>
        </w:rPr>
      </w:pPr>
    </w:p>
    <w:p>
      <w:pPr>
        <w:spacing w:before="93"/>
        <w:ind w:left="811" w:right="0" w:firstLine="0"/>
        <w:jc w:val="left"/>
        <w:rPr>
          <w:sz w:val="20"/>
        </w:rPr>
      </w:pPr>
      <w:r>
        <w:rPr>
          <w:sz w:val="20"/>
        </w:rPr>
        <w:t>2021 =</w:t>
      </w:r>
      <w:r>
        <w:rPr>
          <w:spacing w:val="-7"/>
          <w:sz w:val="20"/>
        </w:rPr>
        <w:t> </w:t>
      </w:r>
      <w:r>
        <w:rPr>
          <w:sz w:val="20"/>
        </w:rPr>
        <w:t>3,1%</w:t>
      </w:r>
    </w:p>
    <w:p>
      <w:pPr>
        <w:pStyle w:val="BodyText"/>
        <w:rPr>
          <w:sz w:val="20"/>
        </w:rPr>
      </w:pPr>
    </w:p>
    <w:p>
      <w:pPr>
        <w:spacing w:before="1"/>
        <w:ind w:left="811" w:right="0" w:firstLine="0"/>
        <w:jc w:val="left"/>
        <w:rPr>
          <w:sz w:val="20"/>
        </w:rPr>
      </w:pPr>
      <w:r>
        <w:rPr>
          <w:sz w:val="20"/>
        </w:rPr>
        <w:t>2022 =</w:t>
      </w:r>
      <w:r>
        <w:rPr>
          <w:spacing w:val="-7"/>
          <w:sz w:val="20"/>
        </w:rPr>
        <w:t> </w:t>
      </w:r>
      <w:r>
        <w:rPr>
          <w:sz w:val="20"/>
        </w:rPr>
        <w:t>3,5%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811" w:right="0" w:firstLine="0"/>
        <w:jc w:val="left"/>
        <w:rPr>
          <w:sz w:val="20"/>
        </w:rPr>
      </w:pPr>
      <w:r>
        <w:rPr>
          <w:sz w:val="20"/>
        </w:rPr>
        <w:t>2023 =</w:t>
      </w:r>
      <w:r>
        <w:rPr>
          <w:spacing w:val="-7"/>
          <w:sz w:val="20"/>
        </w:rPr>
        <w:t> </w:t>
      </w:r>
      <w:r>
        <w:rPr>
          <w:sz w:val="20"/>
        </w:rPr>
        <w:t>3,5%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938" w:footer="1572" w:top="2660" w:bottom="1760" w:left="1600" w:right="10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/>
        <w:ind w:left="104" w:right="0" w:firstLine="0"/>
        <w:jc w:val="left"/>
        <w:rPr>
          <w:sz w:val="20"/>
        </w:rPr>
      </w:pPr>
      <w:r>
        <w:rPr>
          <w:sz w:val="20"/>
        </w:rPr>
        <w:t>do </w:t>
      </w:r>
      <w:r>
        <w:rPr>
          <w:spacing w:val="-6"/>
          <w:sz w:val="20"/>
        </w:rPr>
        <w:t>Sul.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47" w:right="0" w:firstLine="0"/>
        <w:jc w:val="left"/>
        <w:rPr>
          <w:sz w:val="20"/>
        </w:rPr>
      </w:pPr>
      <w:r>
        <w:rPr>
          <w:sz w:val="20"/>
        </w:rPr>
        <w:t>Fonte: Boletim Focus BACEN 29/05/2020.</w:t>
      </w:r>
    </w:p>
    <w:p>
      <w:pPr>
        <w:spacing w:before="0"/>
        <w:ind w:left="47" w:right="0" w:firstLine="0"/>
        <w:jc w:val="left"/>
        <w:rPr>
          <w:sz w:val="20"/>
        </w:rPr>
      </w:pPr>
      <w:r>
        <w:rPr>
          <w:sz w:val="20"/>
        </w:rPr>
        <w:t>Parâmetros Macroeconômicos utilizados na PLDO 2021 da União e do Estado do Rio Grande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2660" w:bottom="1760" w:left="1600" w:right="1020"/>
          <w:cols w:num="2" w:equalWidth="0">
            <w:col w:w="725" w:space="40"/>
            <w:col w:w="85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ind w:left="104" w:right="114" w:firstLine="708"/>
        <w:jc w:val="both"/>
      </w:pPr>
      <w:r>
        <w:rPr/>
        <w:t>As projeções de despesas para o exercício de 2021 estão apresentadas em conformidade com o Anexo de Metas Prioritárias da Administração Pública Municipal, desdobradas em Programas e Ações de Governo, com indicação das respectivas fontes (recursos próprios e terceiros). Para os exercícios de 2022 e 2023, as projeções acompanharam as expectativas de variação no desempenho da arrecadação e dos indicadores econômicos</w:t>
      </w:r>
      <w:r>
        <w:rPr>
          <w:spacing w:val="-7"/>
        </w:rPr>
        <w:t> </w:t>
      </w:r>
      <w:r>
        <w:rPr/>
        <w:t>utilizados.</w:t>
      </w:r>
    </w:p>
    <w:p>
      <w:pPr>
        <w:pStyle w:val="BodyText"/>
      </w:pPr>
    </w:p>
    <w:p>
      <w:pPr>
        <w:pStyle w:val="BodyText"/>
        <w:ind w:left="104" w:right="114" w:firstLine="708"/>
        <w:jc w:val="both"/>
      </w:pPr>
      <w:r>
        <w:rPr/>
        <w:t>Os gastos com pessoal e encargos sociais tiveram suas projeções estabelecidas com base na estrutura atual de cargos e salários dos Órgãos e Entidades da Administração Pública Municipal, sendo também consideradas as necessidades de eventuais ampliações e/ou alterações de quadros funcionais ou de carreiras, ainda que não resultem em aumento de despesa.</w:t>
      </w:r>
    </w:p>
    <w:p>
      <w:pPr>
        <w:pStyle w:val="BodyText"/>
      </w:pPr>
    </w:p>
    <w:p>
      <w:pPr>
        <w:pStyle w:val="BodyText"/>
        <w:ind w:left="104" w:right="114" w:firstLine="708"/>
        <w:jc w:val="both"/>
      </w:pPr>
      <w:r>
        <w:rPr/>
        <w:t>Para as estimativas de gastos com pessoal e encargos não foram incluídas projeções de crescimento vegetativo da folha de pagamento, por força das disposições contidas na Lei Complementar nº 173/2020 (artigo 8º).</w:t>
      </w:r>
    </w:p>
    <w:p>
      <w:pPr>
        <w:spacing w:after="0"/>
        <w:jc w:val="both"/>
        <w:sectPr>
          <w:type w:val="continuous"/>
          <w:pgSz w:w="11900" w:h="16840"/>
          <w:pgMar w:top="2660" w:bottom="1760" w:left="1600" w:right="102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2"/>
        <w:ind w:left="104" w:right="122" w:firstLine="708"/>
        <w:jc w:val="both"/>
      </w:pPr>
      <w:r>
        <w:rPr/>
        <w:t>Estão ainda incluídas projeções de receitas e despesas do Regime Próprio de Previdência dos Servidores Públicos Municipais de Esteio.</w:t>
      </w:r>
    </w:p>
    <w:p>
      <w:pPr>
        <w:pStyle w:val="BodyText"/>
      </w:pPr>
    </w:p>
    <w:p>
      <w:pPr>
        <w:pStyle w:val="BodyText"/>
        <w:ind w:left="104" w:right="113" w:firstLine="708"/>
        <w:jc w:val="both"/>
      </w:pPr>
      <w:r>
        <w:rPr/>
        <w:t>Os dados do Anexo de Metas Fiscais relativas ao Regime Próprio de Previdência dos Servidores Públicos Municipais de Esteio contemplam o Demonstrativo da Projeção Atuarial do RPPS para o período calculado entre os anos de 2019 a 2093.</w:t>
      </w:r>
    </w:p>
    <w:p>
      <w:pPr>
        <w:pStyle w:val="BodyText"/>
      </w:pPr>
    </w:p>
    <w:p>
      <w:pPr>
        <w:pStyle w:val="BodyText"/>
        <w:ind w:left="104" w:right="117" w:firstLine="708"/>
        <w:jc w:val="both"/>
      </w:pPr>
      <w:r>
        <w:rPr/>
        <w:t>As metas fiscais constantes na proposta da Lei de Diretrizes Orçamentárias para o exercício de 2021 estão em sintonia com as premissas da Lei Municipal nº 6.627 de </w:t>
      </w:r>
      <w:r>
        <w:rPr>
          <w:spacing w:val="-9"/>
        </w:rPr>
        <w:t>11 </w:t>
      </w:r>
      <w:r>
        <w:rPr/>
        <w:t>de Agosto de 2017, que dispõe sobre o Plano Plurianual do Município</w:t>
      </w:r>
      <w:r>
        <w:rPr>
          <w:spacing w:val="-41"/>
        </w:rPr>
        <w:t> </w:t>
      </w:r>
      <w:r>
        <w:rPr/>
        <w:t>de Esteio para o período de 2018 a</w:t>
      </w:r>
      <w:r>
        <w:rPr>
          <w:spacing w:val="-3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ind w:left="104" w:right="115" w:firstLine="708"/>
        <w:jc w:val="both"/>
      </w:pPr>
      <w:r>
        <w:rPr/>
        <w:t>Na estimativa de receita para o exercício de 2021, foram desconsiderados os valores referentes à Renúncia de Receita, cujas previsões estão apresentadas no Demonstrativo VIII – Estimativa da Compensação e Renúncia de Receita da LDO 2021.</w:t>
      </w:r>
    </w:p>
    <w:sectPr>
      <w:pgSz w:w="11900" w:h="16840"/>
      <w:pgMar w:header="938" w:footer="1572" w:top="2660" w:bottom="17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4336">
          <wp:simplePos x="0" y="0"/>
          <wp:positionH relativeFrom="page">
            <wp:posOffset>1108906</wp:posOffset>
          </wp:positionH>
          <wp:positionV relativeFrom="page">
            <wp:posOffset>9597860</wp:posOffset>
          </wp:positionV>
          <wp:extent cx="5772737" cy="387977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737" cy="38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1781120" from="79.699997pt,753.700012pt" to="557.799997pt,753.700012pt" stroked="true" strokeweight=".6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1264">
          <wp:simplePos x="0" y="0"/>
          <wp:positionH relativeFrom="page">
            <wp:posOffset>1017269</wp:posOffset>
          </wp:positionH>
          <wp:positionV relativeFrom="page">
            <wp:posOffset>595630</wp:posOffset>
          </wp:positionV>
          <wp:extent cx="962659" cy="89789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659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532288">
          <wp:simplePos x="0" y="0"/>
          <wp:positionH relativeFrom="page">
            <wp:posOffset>3097529</wp:posOffset>
          </wp:positionH>
          <wp:positionV relativeFrom="page">
            <wp:posOffset>1121410</wp:posOffset>
          </wp:positionV>
          <wp:extent cx="1430020" cy="28320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0020" cy="2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79.699997pt;margin-top:132.899994pt;width:478.5pt;height:.6pt;mso-position-horizontal-relative:page;mso-position-vertical-relative:page;z-index:-251783168" coordorigin="1594,2658" coordsize="9570,12">
          <v:line style="position:absolute" from="1594,2664" to="4486,2664" stroked="true" strokeweight=".6pt" strokecolor="#000000">
            <v:stroke dashstyle="solid"/>
          </v:line>
          <v:line style="position:absolute" from="4486,2664" to="7520,2664" stroked="true" strokeweight=".6pt" strokecolor="#000000">
            <v:stroke dashstyle="solid"/>
          </v:line>
          <v:line style="position:absolute" from="7520,2664" to="11164,2664" stroked="true" strokeweight=".6pt" strokecolor="#000000">
            <v:stroke dashstyle="solid"/>
          </v:line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811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dc:title>Of</dc:title>
  <dcterms:created xsi:type="dcterms:W3CDTF">2020-08-14T19:11:46Z</dcterms:created>
  <dcterms:modified xsi:type="dcterms:W3CDTF">2020-08-14T19:11:46Z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2020-07-31T00:00:00Z</vt:filetime>
  </property>
</Properties>
</file>