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31" w:lineRule="auto" w:before="76"/>
        <w:ind w:left="4490" w:right="4474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i/>
          <w:sz w:val="20"/>
        </w:rPr>
        <w:t>Prefeitura Municipal de Esteio - Consolidação</w:t>
      </w:r>
      <w:r>
        <w:rPr>
          <w:rFonts w:ascii="Times New Roman" w:hAnsi="Times New Roman"/>
          <w:b/>
          <w:i/>
          <w:spacing w:val="-18"/>
          <w:sz w:val="20"/>
        </w:rPr>
        <w:t> </w:t>
      </w:r>
      <w:r>
        <w:rPr>
          <w:rFonts w:ascii="Times New Roman" w:hAnsi="Times New Roman"/>
          <w:b/>
          <w:i/>
          <w:spacing w:val="-4"/>
          <w:sz w:val="20"/>
        </w:rPr>
        <w:t>Total </w:t>
      </w:r>
      <w:r>
        <w:rPr>
          <w:rFonts w:ascii="Times New Roman" w:hAnsi="Times New Roman"/>
          <w:sz w:val="20"/>
        </w:rPr>
        <w:t>LEI DE DIRETRIZES ORÇAMENTÁRIAS ANEXO DE </w:t>
      </w:r>
      <w:r>
        <w:rPr>
          <w:rFonts w:ascii="Times New Roman" w:hAnsi="Times New Roman"/>
          <w:spacing w:val="-4"/>
          <w:sz w:val="20"/>
        </w:rPr>
        <w:t>METAS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FISCAIS</w:t>
      </w:r>
    </w:p>
    <w:p>
      <w:pPr>
        <w:pStyle w:val="BodyText"/>
        <w:spacing w:before="1"/>
        <w:ind w:left="14"/>
        <w:jc w:val="center"/>
      </w:pPr>
      <w:r>
        <w:rPr/>
        <w:t>AVALIAÇÃO DO CUMPRIMENTO DAS METAS FISCAIS DO EXERCÍCIO ANTERIOR</w:t>
      </w:r>
    </w:p>
    <w:p>
      <w:pPr>
        <w:spacing w:before="91"/>
        <w:ind w:left="12" w:right="0" w:firstLine="0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Exercício de 2021</w:t>
      </w:r>
    </w:p>
    <w:p>
      <w:pPr>
        <w:pStyle w:val="BodyText"/>
        <w:spacing w:before="0"/>
        <w:rPr>
          <w:i/>
          <w:sz w:val="22"/>
        </w:rPr>
      </w:pPr>
    </w:p>
    <w:p>
      <w:pPr>
        <w:pStyle w:val="BodyText"/>
        <w:spacing w:before="5"/>
        <w:rPr>
          <w:i/>
          <w:sz w:val="32"/>
        </w:rPr>
      </w:pPr>
    </w:p>
    <w:p>
      <w:pPr>
        <w:tabs>
          <w:tab w:pos="12476" w:val="left" w:leader="none"/>
        </w:tabs>
        <w:spacing w:before="0"/>
        <w:ind w:left="10" w:right="0" w:firstLine="0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AMF - Demonstrativo II </w:t>
      </w:r>
      <w:r>
        <w:rPr>
          <w:rFonts w:ascii="Times New Roman" w:hAnsi="Times New Roman"/>
          <w:spacing w:val="-5"/>
          <w:sz w:val="14"/>
        </w:rPr>
        <w:t>(LRF, </w:t>
      </w:r>
      <w:r>
        <w:rPr>
          <w:rFonts w:ascii="Times New Roman" w:hAnsi="Times New Roman"/>
          <w:sz w:val="14"/>
        </w:rPr>
        <w:t>art.4º,§ 2º,</w:t>
      </w:r>
      <w:r>
        <w:rPr>
          <w:rFonts w:ascii="Times New Roman" w:hAnsi="Times New Roman"/>
          <w:spacing w:val="-23"/>
          <w:sz w:val="14"/>
        </w:rPr>
        <w:t> </w:t>
      </w:r>
      <w:r>
        <w:rPr>
          <w:rFonts w:ascii="Times New Roman" w:hAnsi="Times New Roman"/>
          <w:sz w:val="14"/>
        </w:rPr>
        <w:t>inciso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Times New Roman" w:hAnsi="Times New Roman"/>
          <w:sz w:val="14"/>
        </w:rPr>
        <w:t>I)</w:t>
        <w:tab/>
        <w:t>R$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Times New Roman" w:hAnsi="Times New Roman"/>
          <w:sz w:val="14"/>
        </w:rPr>
        <w:t>Reais</w:t>
      </w:r>
    </w:p>
    <w:p>
      <w:pPr>
        <w:pStyle w:val="BodyText"/>
        <w:rPr>
          <w:b w:val="0"/>
          <w:sz w:val="13"/>
        </w:rPr>
      </w:pPr>
    </w:p>
    <w:tbl>
      <w:tblPr>
        <w:tblW w:w="0" w:type="auto"/>
        <w:jc w:val="left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1"/>
        <w:gridCol w:w="1920"/>
        <w:gridCol w:w="960"/>
        <w:gridCol w:w="960"/>
        <w:gridCol w:w="1920"/>
        <w:gridCol w:w="960"/>
        <w:gridCol w:w="960"/>
        <w:gridCol w:w="1920"/>
        <w:gridCol w:w="955"/>
      </w:tblGrid>
      <w:tr>
        <w:trPr>
          <w:trHeight w:val="224" w:hRule="atLeast"/>
        </w:trPr>
        <w:tc>
          <w:tcPr>
            <w:tcW w:w="2431" w:type="dxa"/>
            <w:vMerge w:val="restart"/>
            <w:shd w:val="clear" w:color="auto" w:fill="F0F0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5"/>
              <w:ind w:left="5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ESPECIFICAÇÃO</w:t>
            </w:r>
          </w:p>
        </w:tc>
        <w:tc>
          <w:tcPr>
            <w:tcW w:w="10555" w:type="dxa"/>
            <w:gridSpan w:val="8"/>
            <w:shd w:val="clear" w:color="auto" w:fill="F0F0F0"/>
          </w:tcPr>
          <w:p>
            <w:pPr>
              <w:pStyle w:val="TableParagraph"/>
              <w:spacing w:line="180" w:lineRule="exact" w:before="25"/>
              <w:ind w:left="5079" w:right="50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</w:p>
        </w:tc>
      </w:tr>
      <w:tr>
        <w:trPr>
          <w:trHeight w:val="224" w:hRule="atLeast"/>
        </w:trPr>
        <w:tc>
          <w:tcPr>
            <w:tcW w:w="2431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 w:val="restart"/>
            <w:shd w:val="clear" w:color="auto" w:fill="F0F0F0"/>
          </w:tcPr>
          <w:p>
            <w:pPr>
              <w:pStyle w:val="TableParagraph"/>
              <w:spacing w:line="244" w:lineRule="auto" w:before="22"/>
              <w:ind w:left="242" w:right="1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Metas Previstas em 2019</w:t>
            </w:r>
          </w:p>
          <w:p>
            <w:pPr>
              <w:pStyle w:val="TableParagraph"/>
              <w:spacing w:before="52"/>
              <w:ind w:left="193" w:right="168"/>
              <w:jc w:val="center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960" w:type="dxa"/>
            <w:vMerge w:val="restart"/>
            <w:shd w:val="clear" w:color="auto" w:fill="F0F0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8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 PIB</w:t>
            </w:r>
          </w:p>
          <w:p>
            <w:pPr>
              <w:pStyle w:val="TableParagraph"/>
              <w:spacing w:before="32"/>
              <w:ind w:left="68" w:right="41"/>
              <w:jc w:val="center"/>
              <w:rPr>
                <w:sz w:val="14"/>
              </w:rPr>
            </w:pPr>
            <w:r>
              <w:rPr>
                <w:sz w:val="14"/>
              </w:rPr>
              <w:t>(a/PIB)x100</w:t>
            </w:r>
          </w:p>
        </w:tc>
        <w:tc>
          <w:tcPr>
            <w:tcW w:w="960" w:type="dxa"/>
            <w:vMerge w:val="restart"/>
            <w:shd w:val="clear" w:color="auto" w:fill="F0F0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8" w:right="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 RCL</w:t>
            </w:r>
          </w:p>
          <w:p>
            <w:pPr>
              <w:pStyle w:val="TableParagraph"/>
              <w:spacing w:before="32"/>
              <w:ind w:left="68" w:right="43"/>
              <w:jc w:val="center"/>
              <w:rPr>
                <w:sz w:val="14"/>
              </w:rPr>
            </w:pPr>
            <w:r>
              <w:rPr>
                <w:sz w:val="14"/>
              </w:rPr>
              <w:t>(a/RCL)x100</w:t>
            </w:r>
          </w:p>
        </w:tc>
        <w:tc>
          <w:tcPr>
            <w:tcW w:w="1920" w:type="dxa"/>
            <w:vMerge w:val="restart"/>
            <w:shd w:val="clear" w:color="auto" w:fill="F0F0F0"/>
          </w:tcPr>
          <w:p>
            <w:pPr>
              <w:pStyle w:val="TableParagraph"/>
              <w:spacing w:line="244" w:lineRule="auto" w:before="22"/>
              <w:ind w:left="242" w:right="1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Metas Realizadas em 2019</w:t>
            </w:r>
          </w:p>
          <w:p>
            <w:pPr>
              <w:pStyle w:val="TableParagraph"/>
              <w:spacing w:before="52"/>
              <w:ind w:left="193" w:right="168"/>
              <w:jc w:val="center"/>
              <w:rPr>
                <w:sz w:val="14"/>
              </w:rPr>
            </w:pPr>
            <w:r>
              <w:rPr>
                <w:sz w:val="14"/>
              </w:rPr>
              <w:t>(b)</w:t>
            </w:r>
          </w:p>
        </w:tc>
        <w:tc>
          <w:tcPr>
            <w:tcW w:w="960" w:type="dxa"/>
            <w:vMerge w:val="restart"/>
            <w:shd w:val="clear" w:color="auto" w:fill="F0F0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8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 PIB</w:t>
            </w:r>
          </w:p>
          <w:p>
            <w:pPr>
              <w:pStyle w:val="TableParagraph"/>
              <w:spacing w:before="32"/>
              <w:ind w:left="68" w:right="41"/>
              <w:jc w:val="center"/>
              <w:rPr>
                <w:sz w:val="14"/>
              </w:rPr>
            </w:pPr>
            <w:r>
              <w:rPr>
                <w:sz w:val="14"/>
              </w:rPr>
              <w:t>(b/PIB)x100</w:t>
            </w:r>
          </w:p>
        </w:tc>
        <w:tc>
          <w:tcPr>
            <w:tcW w:w="960" w:type="dxa"/>
            <w:vMerge w:val="restart"/>
            <w:shd w:val="clear" w:color="auto" w:fill="F0F0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8" w:right="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 RCL</w:t>
            </w:r>
          </w:p>
          <w:p>
            <w:pPr>
              <w:pStyle w:val="TableParagraph"/>
              <w:spacing w:before="32"/>
              <w:ind w:left="68" w:right="43"/>
              <w:jc w:val="center"/>
              <w:rPr>
                <w:sz w:val="14"/>
              </w:rPr>
            </w:pPr>
            <w:r>
              <w:rPr>
                <w:sz w:val="14"/>
              </w:rPr>
              <w:t>(b/RCL)x100</w:t>
            </w:r>
          </w:p>
        </w:tc>
        <w:tc>
          <w:tcPr>
            <w:tcW w:w="2875" w:type="dxa"/>
            <w:gridSpan w:val="2"/>
            <w:shd w:val="clear" w:color="auto" w:fill="F0F0F0"/>
          </w:tcPr>
          <w:p>
            <w:pPr>
              <w:pStyle w:val="TableParagraph"/>
              <w:spacing w:line="173" w:lineRule="exact" w:before="32"/>
              <w:ind w:left="1091" w:right="10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Variação</w:t>
            </w:r>
          </w:p>
        </w:tc>
      </w:tr>
      <w:tr>
        <w:trPr>
          <w:trHeight w:val="416" w:hRule="atLeast"/>
        </w:trPr>
        <w:tc>
          <w:tcPr>
            <w:tcW w:w="2431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shd w:val="clear" w:color="auto" w:fill="F0F0F0"/>
          </w:tcPr>
          <w:p>
            <w:pPr>
              <w:pStyle w:val="TableParagraph"/>
              <w:spacing w:line="178" w:lineRule="exact" w:before="0"/>
              <w:ind w:left="192" w:right="1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</w:p>
          <w:p>
            <w:pPr>
              <w:pStyle w:val="TableParagraph"/>
              <w:spacing w:before="31"/>
              <w:ind w:left="193" w:right="168"/>
              <w:jc w:val="center"/>
              <w:rPr>
                <w:sz w:val="14"/>
              </w:rPr>
            </w:pPr>
            <w:r>
              <w:rPr>
                <w:sz w:val="14"/>
              </w:rPr>
              <w:t>(c)=(b-a)</w:t>
            </w:r>
          </w:p>
        </w:tc>
        <w:tc>
          <w:tcPr>
            <w:tcW w:w="955" w:type="dxa"/>
            <w:shd w:val="clear" w:color="auto" w:fill="F0F0F0"/>
          </w:tcPr>
          <w:p>
            <w:pPr>
              <w:pStyle w:val="TableParagraph"/>
              <w:spacing w:line="178" w:lineRule="exact" w:before="0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%</w:t>
            </w:r>
          </w:p>
          <w:p>
            <w:pPr>
              <w:pStyle w:val="TableParagraph"/>
              <w:spacing w:before="31"/>
              <w:ind w:left="174" w:right="142"/>
              <w:jc w:val="center"/>
              <w:rPr>
                <w:sz w:val="14"/>
              </w:rPr>
            </w:pPr>
            <w:r>
              <w:rPr>
                <w:sz w:val="14"/>
              </w:rPr>
              <w:t>(c/a)x100</w:t>
            </w:r>
          </w:p>
        </w:tc>
      </w:tr>
      <w:tr>
        <w:trPr>
          <w:trHeight w:val="360" w:hRule="atLeast"/>
        </w:trPr>
        <w:tc>
          <w:tcPr>
            <w:tcW w:w="243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09"/>
              <w:ind w:left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Receita Total</w:t>
            </w: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spacing w:before="109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251.752.376,00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before="109"/>
              <w:rPr>
                <w:b/>
                <w:sz w:val="16"/>
              </w:rPr>
            </w:pPr>
            <w:r>
              <w:rPr>
                <w:b/>
                <w:sz w:val="16"/>
              </w:rPr>
              <w:t>50,768%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before="109"/>
              <w:rPr>
                <w:b/>
                <w:sz w:val="16"/>
              </w:rPr>
            </w:pPr>
            <w:r>
              <w:rPr>
                <w:b/>
                <w:sz w:val="16"/>
              </w:rPr>
              <w:t>68,246%</w:t>
            </w: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spacing w:before="109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280.621.129,07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before="109"/>
              <w:rPr>
                <w:b/>
                <w:sz w:val="16"/>
              </w:rPr>
            </w:pPr>
            <w:r>
              <w:rPr>
                <w:b/>
                <w:sz w:val="16"/>
              </w:rPr>
              <w:t>0,058%</w:t>
            </w:r>
          </w:p>
        </w:tc>
        <w:tc>
          <w:tcPr>
            <w:tcW w:w="960" w:type="dxa"/>
            <w:tcBorders>
              <w:bottom w:val="nil"/>
            </w:tcBorders>
          </w:tcPr>
          <w:p>
            <w:pPr>
              <w:pStyle w:val="TableParagraph"/>
              <w:spacing w:before="109"/>
              <w:rPr>
                <w:b/>
                <w:sz w:val="16"/>
              </w:rPr>
            </w:pPr>
            <w:r>
              <w:rPr>
                <w:b/>
                <w:sz w:val="16"/>
              </w:rPr>
              <w:t>76,072%</w:t>
            </w:r>
          </w:p>
        </w:tc>
        <w:tc>
          <w:tcPr>
            <w:tcW w:w="1920" w:type="dxa"/>
            <w:tcBorders>
              <w:bottom w:val="nil"/>
            </w:tcBorders>
          </w:tcPr>
          <w:p>
            <w:pPr>
              <w:pStyle w:val="TableParagraph"/>
              <w:spacing w:before="109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28.868.753,07</w:t>
            </w:r>
          </w:p>
        </w:tc>
        <w:tc>
          <w:tcPr>
            <w:tcW w:w="95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09"/>
              <w:rPr>
                <w:b/>
                <w:sz w:val="16"/>
              </w:rPr>
            </w:pPr>
            <w:r>
              <w:rPr>
                <w:b/>
                <w:sz w:val="16"/>
              </w:rPr>
              <w:t>11,467%</w:t>
            </w:r>
          </w:p>
        </w:tc>
      </w:tr>
      <w:tr>
        <w:trPr>
          <w:trHeight w:val="315" w:hRule="atLeast"/>
        </w:trPr>
        <w:tc>
          <w:tcPr>
            <w:tcW w:w="24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Receitas Primárias (I)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265.424.044,00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53,525%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71,952%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279.848.688,59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0,058%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75,863%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14.424.644,59</w:t>
            </w:r>
          </w:p>
        </w:tc>
        <w:tc>
          <w:tcPr>
            <w:tcW w:w="9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5,435%</w:t>
            </w:r>
          </w:p>
        </w:tc>
      </w:tr>
      <w:tr>
        <w:trPr>
          <w:trHeight w:val="315" w:hRule="atLeast"/>
        </w:trPr>
        <w:tc>
          <w:tcPr>
            <w:tcW w:w="24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4"/>
              <w:ind w:left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Despesa Total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274.754.644,00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rPr>
                <w:b/>
                <w:sz w:val="16"/>
              </w:rPr>
            </w:pPr>
            <w:r>
              <w:rPr>
                <w:b/>
                <w:sz w:val="16"/>
              </w:rPr>
              <w:t>55,407%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rPr>
                <w:b/>
                <w:sz w:val="16"/>
              </w:rPr>
            </w:pPr>
            <w:r>
              <w:rPr>
                <w:b/>
                <w:sz w:val="16"/>
              </w:rPr>
              <w:t>74,482%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289.729.707,37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rPr>
                <w:b/>
                <w:sz w:val="16"/>
              </w:rPr>
            </w:pPr>
            <w:r>
              <w:rPr>
                <w:b/>
                <w:sz w:val="16"/>
              </w:rPr>
              <w:t>0,060%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rPr>
                <w:b/>
                <w:sz w:val="16"/>
              </w:rPr>
            </w:pPr>
            <w:r>
              <w:rPr>
                <w:b/>
                <w:sz w:val="16"/>
              </w:rPr>
              <w:t>78,541%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14.975.063,37</w:t>
            </w:r>
          </w:p>
        </w:tc>
        <w:tc>
          <w:tcPr>
            <w:tcW w:w="9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4"/>
              <w:rPr>
                <w:b/>
                <w:sz w:val="16"/>
              </w:rPr>
            </w:pPr>
            <w:r>
              <w:rPr>
                <w:b/>
                <w:sz w:val="16"/>
              </w:rPr>
              <w:t>5,450%</w:t>
            </w:r>
          </w:p>
        </w:tc>
      </w:tr>
      <w:tr>
        <w:trPr>
          <w:trHeight w:val="314" w:hRule="atLeast"/>
        </w:trPr>
        <w:tc>
          <w:tcPr>
            <w:tcW w:w="24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Despesas Primárias (II)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274.754.644,00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55,407%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74,482%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289.320.379,49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0,060%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78,430%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14.565.735,49</w:t>
            </w:r>
          </w:p>
        </w:tc>
        <w:tc>
          <w:tcPr>
            <w:tcW w:w="9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5,301%</w:t>
            </w:r>
          </w:p>
        </w:tc>
      </w:tr>
      <w:tr>
        <w:trPr>
          <w:trHeight w:val="314" w:hRule="atLeast"/>
        </w:trPr>
        <w:tc>
          <w:tcPr>
            <w:tcW w:w="24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Resultado Primário (III)=(I-II)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-9.330.600,00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-1,882%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-2,529%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-9.471.690,90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-0,002%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-2,568%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-141.090,90</w:t>
            </w:r>
          </w:p>
        </w:tc>
        <w:tc>
          <w:tcPr>
            <w:tcW w:w="9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1,512%</w:t>
            </w:r>
          </w:p>
        </w:tc>
      </w:tr>
      <w:tr>
        <w:trPr>
          <w:trHeight w:val="315" w:hRule="atLeast"/>
        </w:trPr>
        <w:tc>
          <w:tcPr>
            <w:tcW w:w="24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Resultado Nominal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13.471.720,99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2,717%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3,652%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-16.760.018,93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-0,003%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-4,543%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-30.231.739,92</w:t>
            </w:r>
          </w:p>
        </w:tc>
        <w:tc>
          <w:tcPr>
            <w:tcW w:w="9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-224,409%</w:t>
            </w:r>
          </w:p>
        </w:tc>
      </w:tr>
      <w:tr>
        <w:trPr>
          <w:trHeight w:val="315" w:hRule="atLeast"/>
        </w:trPr>
        <w:tc>
          <w:tcPr>
            <w:tcW w:w="243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4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Dív.Pública Consolidada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right="30"/>
              <w:rPr>
                <w:sz w:val="16"/>
              </w:rPr>
            </w:pPr>
            <w:r>
              <w:rPr>
                <w:sz w:val="16"/>
              </w:rPr>
              <w:t>11.623.201,85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rPr>
                <w:sz w:val="16"/>
              </w:rPr>
            </w:pPr>
            <w:r>
              <w:rPr>
                <w:sz w:val="16"/>
              </w:rPr>
              <w:t>2,344%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rPr>
                <w:sz w:val="16"/>
              </w:rPr>
            </w:pPr>
            <w:r>
              <w:rPr>
                <w:sz w:val="16"/>
              </w:rPr>
              <w:t>3,151%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right="30"/>
              <w:rPr>
                <w:sz w:val="16"/>
              </w:rPr>
            </w:pPr>
            <w:r>
              <w:rPr>
                <w:sz w:val="16"/>
              </w:rPr>
              <w:t>25.000.071,42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rPr>
                <w:sz w:val="16"/>
              </w:rPr>
            </w:pPr>
            <w:r>
              <w:rPr>
                <w:sz w:val="16"/>
              </w:rPr>
              <w:t>0,005%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rPr>
                <w:sz w:val="16"/>
              </w:rPr>
            </w:pPr>
            <w:r>
              <w:rPr>
                <w:sz w:val="16"/>
              </w:rPr>
              <w:t>6,777%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right="30"/>
              <w:rPr>
                <w:sz w:val="16"/>
              </w:rPr>
            </w:pPr>
            <w:r>
              <w:rPr>
                <w:sz w:val="16"/>
              </w:rPr>
              <w:t>13.376.869,57</w:t>
            </w:r>
          </w:p>
        </w:tc>
        <w:tc>
          <w:tcPr>
            <w:tcW w:w="95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4"/>
              <w:ind w:right="3"/>
              <w:rPr>
                <w:sz w:val="16"/>
              </w:rPr>
            </w:pPr>
            <w:r>
              <w:rPr>
                <w:sz w:val="16"/>
              </w:rPr>
              <w:t>115,088%</w:t>
            </w:r>
          </w:p>
        </w:tc>
      </w:tr>
      <w:tr>
        <w:trPr>
          <w:trHeight w:val="347" w:hRule="atLeast"/>
        </w:trPr>
        <w:tc>
          <w:tcPr>
            <w:tcW w:w="2431" w:type="dxa"/>
            <w:tcBorders>
              <w:top w:val="nil"/>
              <w:left w:val="nil"/>
            </w:tcBorders>
          </w:tcPr>
          <w:p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Dív.Consolidada Líquida</w:t>
            </w: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-16.858.119,42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-3,400%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-4,570%</w:t>
            </w: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-13.364.836,11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-0,003%</w:t>
            </w:r>
          </w:p>
        </w:tc>
        <w:tc>
          <w:tcPr>
            <w:tcW w:w="96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-3,623%</w:t>
            </w:r>
          </w:p>
        </w:tc>
        <w:tc>
          <w:tcPr>
            <w:tcW w:w="1920" w:type="dxa"/>
            <w:tcBorders>
              <w:top w:val="nil"/>
            </w:tcBorders>
          </w:tcPr>
          <w:p>
            <w:pPr>
              <w:pStyle w:val="TableParagraph"/>
              <w:ind w:right="30"/>
              <w:rPr>
                <w:sz w:val="16"/>
              </w:rPr>
            </w:pPr>
            <w:r>
              <w:rPr>
                <w:sz w:val="16"/>
              </w:rPr>
              <w:t>3.493.283,31</w:t>
            </w:r>
          </w:p>
        </w:tc>
        <w:tc>
          <w:tcPr>
            <w:tcW w:w="955" w:type="dxa"/>
            <w:tcBorders>
              <w:top w:val="nil"/>
              <w:right w:val="nil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z w:val="16"/>
              </w:rPr>
              <w:t>-20,722%</w:t>
            </w:r>
          </w:p>
        </w:tc>
      </w:tr>
    </w:tbl>
    <w:p>
      <w:pPr>
        <w:pStyle w:val="BodyText"/>
        <w:rPr>
          <w:b w:val="0"/>
          <w:sz w:val="15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0"/>
        <w:gridCol w:w="1932"/>
      </w:tblGrid>
      <w:tr>
        <w:trPr>
          <w:trHeight w:val="236" w:hRule="atLeast"/>
        </w:trPr>
        <w:tc>
          <w:tcPr>
            <w:tcW w:w="6300" w:type="dxa"/>
            <w:shd w:val="clear" w:color="auto" w:fill="F0F0F0"/>
          </w:tcPr>
          <w:p>
            <w:pPr>
              <w:pStyle w:val="TableParagraph"/>
              <w:spacing w:before="25"/>
              <w:ind w:left="2784" w:right="27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Variáveis</w:t>
            </w:r>
          </w:p>
        </w:tc>
        <w:tc>
          <w:tcPr>
            <w:tcW w:w="1932" w:type="dxa"/>
            <w:shd w:val="clear" w:color="auto" w:fill="F0F0F0"/>
          </w:tcPr>
          <w:p>
            <w:pPr>
              <w:pStyle w:val="TableParagraph"/>
              <w:spacing w:before="25"/>
              <w:ind w:left="744" w:right="7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</w:p>
        </w:tc>
      </w:tr>
      <w:tr>
        <w:trPr>
          <w:trHeight w:val="285" w:hRule="atLeast"/>
        </w:trPr>
        <w:tc>
          <w:tcPr>
            <w:tcW w:w="630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9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Previsão do PIB Estadual para 2019</w:t>
            </w:r>
          </w:p>
        </w:tc>
        <w:tc>
          <w:tcPr>
            <w:tcW w:w="193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9"/>
              <w:ind w:right="18"/>
              <w:rPr>
                <w:sz w:val="16"/>
              </w:rPr>
            </w:pPr>
            <w:r>
              <w:rPr>
                <w:sz w:val="16"/>
              </w:rPr>
              <w:t>495.886.000,00</w:t>
            </w:r>
          </w:p>
        </w:tc>
      </w:tr>
      <w:tr>
        <w:trPr>
          <w:trHeight w:val="285" w:hRule="atLeast"/>
        </w:trPr>
        <w:tc>
          <w:tcPr>
            <w:tcW w:w="630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8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Valor efetivo (realizado) do PIB Estadual em 2019</w:t>
            </w:r>
          </w:p>
        </w:tc>
        <w:tc>
          <w:tcPr>
            <w:tcW w:w="193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8"/>
              <w:ind w:right="18"/>
              <w:rPr>
                <w:sz w:val="16"/>
              </w:rPr>
            </w:pPr>
            <w:r>
              <w:rPr>
                <w:sz w:val="16"/>
              </w:rPr>
              <w:t>480.577.000.000,00</w:t>
            </w:r>
          </w:p>
        </w:tc>
      </w:tr>
      <w:tr>
        <w:trPr>
          <w:trHeight w:val="287" w:hRule="atLeast"/>
        </w:trPr>
        <w:tc>
          <w:tcPr>
            <w:tcW w:w="630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8"/>
              <w:ind w:left="67"/>
              <w:jc w:val="left"/>
              <w:rPr>
                <w:sz w:val="16"/>
              </w:rPr>
            </w:pPr>
            <w:r>
              <w:rPr>
                <w:sz w:val="16"/>
              </w:rPr>
              <w:t>Receita Corrente Líquida - RCL em 2019</w:t>
            </w:r>
          </w:p>
        </w:tc>
        <w:tc>
          <w:tcPr>
            <w:tcW w:w="193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8"/>
              <w:ind w:right="18"/>
              <w:rPr>
                <w:sz w:val="16"/>
              </w:rPr>
            </w:pPr>
            <w:r>
              <w:rPr>
                <w:sz w:val="16"/>
              </w:rPr>
              <w:t>368.888.008,64</w:t>
            </w:r>
          </w:p>
        </w:tc>
      </w:tr>
    </w:tbl>
    <w:sectPr>
      <w:type w:val="continuous"/>
      <w:pgSz w:w="16840" w:h="11900" w:orient="landscape"/>
      <w:pgMar w:top="380" w:bottom="280" w:left="1380" w:right="2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3"/>
      <w:jc w:val="right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65458818091</dc:creator>
  <dc:title>04 Avaliação do Cumprimento das Metas Fiscais do Exercício Anterior LDO 2021</dc:title>
  <dcterms:created xsi:type="dcterms:W3CDTF">2020-08-14T19:12:40Z</dcterms:created>
  <dcterms:modified xsi:type="dcterms:W3CDTF">2020-08-14T19:12:40Z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2020-08-14T00:00:00Z</vt:filetime>
  </property>
</Properties>
</file>