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5595" w:right="562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 Municipal de Esteio - Consolidação</w:t>
      </w:r>
      <w:r>
        <w:rPr>
          <w:rFonts w:ascii="Times New Roman" w:hAnsi="Times New Roman"/>
          <w:b/>
          <w:i/>
          <w:spacing w:val="-18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Total </w:t>
      </w:r>
      <w:r>
        <w:rPr>
          <w:rFonts w:ascii="Times New Roman" w:hAnsi="Times New Roman"/>
          <w:sz w:val="20"/>
        </w:rPr>
        <w:t>LEI DE DIRETRIZES ORÇAMENTÁRIAS ANEXO DE </w:t>
      </w:r>
      <w:r>
        <w:rPr>
          <w:rFonts w:ascii="Times New Roman" w:hAnsi="Times New Roman"/>
          <w:spacing w:val="-4"/>
          <w:sz w:val="20"/>
        </w:rPr>
        <w:t>METAS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spacing w:before="1"/>
        <w:ind w:left="4789" w:right="4822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ESTIMATIVA E COMPENSAÇÃO DA RENÚNCIA DE RECEITA</w:t>
      </w:r>
    </w:p>
    <w:p>
      <w:pPr>
        <w:spacing w:before="84"/>
        <w:ind w:left="4789" w:right="4810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 de 2021</w:t>
      </w:r>
    </w:p>
    <w:p>
      <w:pPr>
        <w:pStyle w:val="BodyText"/>
        <w:spacing w:before="10"/>
        <w:rPr>
          <w:b/>
          <w:i/>
          <w:sz w:val="16"/>
        </w:rPr>
      </w:pPr>
    </w:p>
    <w:p>
      <w:pPr>
        <w:pStyle w:val="BodyText"/>
        <w:tabs>
          <w:tab w:pos="14870" w:val="left" w:leader="none"/>
        </w:tabs>
        <w:spacing w:before="93" w:after="52"/>
        <w:ind w:left="108"/>
      </w:pPr>
      <w:r>
        <w:rPr/>
        <w:t>AMF - Demonstrativo VII </w:t>
      </w:r>
      <w:r>
        <w:rPr>
          <w:spacing w:val="-5"/>
        </w:rPr>
        <w:t>(LRF, </w:t>
      </w:r>
      <w:r>
        <w:rPr/>
        <w:t>art.4º,§ 2º,</w:t>
      </w:r>
      <w:r>
        <w:rPr>
          <w:spacing w:val="-25"/>
        </w:rPr>
        <w:t> </w:t>
      </w:r>
      <w:r>
        <w:rPr/>
        <w:t>inciso</w:t>
      </w:r>
      <w:r>
        <w:rPr>
          <w:spacing w:val="-6"/>
        </w:rPr>
        <w:t> </w:t>
      </w:r>
      <w:r>
        <w:rPr/>
        <w:t>V)</w:t>
        <w:tab/>
        <w:t>R$</w:t>
      </w:r>
      <w:r>
        <w:rPr>
          <w:spacing w:val="-1"/>
        </w:rPr>
        <w:t> </w:t>
      </w:r>
      <w:r>
        <w:rPr/>
        <w:t>Reais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4"/>
        <w:gridCol w:w="2160"/>
        <w:gridCol w:w="2174"/>
        <w:gridCol w:w="1694"/>
        <w:gridCol w:w="1711"/>
        <w:gridCol w:w="1709"/>
        <w:gridCol w:w="3663"/>
      </w:tblGrid>
      <w:tr>
        <w:trPr>
          <w:trHeight w:val="284" w:hRule="atLeast"/>
        </w:trPr>
        <w:tc>
          <w:tcPr>
            <w:tcW w:w="2184" w:type="dxa"/>
            <w:vMerge w:val="restart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48"/>
              <w:rPr>
                <w:b/>
                <w:sz w:val="16"/>
              </w:rPr>
            </w:pPr>
            <w:r>
              <w:rPr>
                <w:b/>
                <w:sz w:val="16"/>
              </w:rPr>
              <w:t>TRIBUTO</w:t>
            </w:r>
          </w:p>
        </w:tc>
        <w:tc>
          <w:tcPr>
            <w:tcW w:w="2160" w:type="dxa"/>
            <w:vMerge w:val="restart"/>
            <w:shd w:val="clear" w:color="auto" w:fill="F0F0F0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39"/>
              <w:rPr>
                <w:b/>
                <w:sz w:val="16"/>
              </w:rPr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2174" w:type="dxa"/>
            <w:vMerge w:val="restart"/>
            <w:shd w:val="clear" w:color="auto" w:fill="F0F0F0"/>
          </w:tcPr>
          <w:p>
            <w:pPr>
              <w:pStyle w:val="TableParagraph"/>
              <w:spacing w:line="244" w:lineRule="auto" w:before="51"/>
              <w:ind w:left="513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SETOR / PROGRAMA / BENEFICIÁRIO</w:t>
            </w:r>
          </w:p>
        </w:tc>
        <w:tc>
          <w:tcPr>
            <w:tcW w:w="5114" w:type="dxa"/>
            <w:gridSpan w:val="3"/>
            <w:shd w:val="clear" w:color="auto" w:fill="F0F0F0"/>
          </w:tcPr>
          <w:p>
            <w:pPr>
              <w:pStyle w:val="TableParagraph"/>
              <w:spacing w:before="53"/>
              <w:ind w:left="1437"/>
              <w:rPr>
                <w:b/>
                <w:sz w:val="16"/>
              </w:rPr>
            </w:pPr>
            <w:r>
              <w:rPr>
                <w:b/>
                <w:sz w:val="16"/>
              </w:rPr>
              <w:t>Renúncia de Receita Prevista</w:t>
            </w:r>
          </w:p>
        </w:tc>
        <w:tc>
          <w:tcPr>
            <w:tcW w:w="3663" w:type="dxa"/>
            <w:vMerge w:val="restart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86"/>
              <w:rPr>
                <w:b/>
                <w:sz w:val="16"/>
              </w:rPr>
            </w:pPr>
            <w:r>
              <w:rPr>
                <w:b/>
                <w:sz w:val="16"/>
              </w:rPr>
              <w:t>COMPENSAÇÃO</w:t>
            </w:r>
          </w:p>
        </w:tc>
      </w:tr>
      <w:tr>
        <w:trPr>
          <w:trHeight w:val="284" w:hRule="atLeast"/>
        </w:trPr>
        <w:tc>
          <w:tcPr>
            <w:tcW w:w="2184" w:type="dxa"/>
            <w:vMerge/>
            <w:tcBorders>
              <w:top w:val="nil"/>
              <w:lef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shd w:val="clear" w:color="auto" w:fill="F0F0F0"/>
          </w:tcPr>
          <w:p>
            <w:pPr>
              <w:pStyle w:val="TableParagraph"/>
              <w:spacing w:before="53"/>
              <w:ind w:left="642" w:right="6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711" w:type="dxa"/>
            <w:shd w:val="clear" w:color="auto" w:fill="F0F0F0"/>
          </w:tcPr>
          <w:p>
            <w:pPr>
              <w:pStyle w:val="TableParagraph"/>
              <w:spacing w:before="53"/>
              <w:ind w:left="657" w:right="6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709" w:type="dxa"/>
            <w:shd w:val="clear" w:color="auto" w:fill="F0F0F0"/>
          </w:tcPr>
          <w:p>
            <w:pPr>
              <w:pStyle w:val="TableParagraph"/>
              <w:spacing w:before="53"/>
              <w:ind w:left="657" w:right="6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3663" w:type="dxa"/>
            <w:vMerge/>
            <w:tcBorders>
              <w:top w:val="nil"/>
              <w:righ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4822"/>
        <w:gridCol w:w="2329"/>
        <w:gridCol w:w="1710"/>
        <w:gridCol w:w="1369"/>
        <w:gridCol w:w="3024"/>
      </w:tblGrid>
      <w:tr>
        <w:trPr>
          <w:trHeight w:val="959" w:hRule="atLeast"/>
        </w:trPr>
        <w:tc>
          <w:tcPr>
            <w:tcW w:w="1401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ICMS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2983" w:val="left" w:leader="none"/>
              </w:tabs>
              <w:spacing w:line="235" w:lineRule="auto"/>
              <w:ind w:left="823" w:right="1004"/>
              <w:rPr>
                <w:sz w:val="16"/>
              </w:rPr>
            </w:pPr>
            <w:r>
              <w:rPr>
                <w:sz w:val="16"/>
              </w:rPr>
              <w:t>Restituição de parcelas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  <w:tab/>
            </w:r>
            <w:r>
              <w:rPr>
                <w:spacing w:val="-3"/>
                <w:sz w:val="16"/>
              </w:rPr>
              <w:t>DIVERSOS </w:t>
            </w:r>
            <w:r>
              <w:rPr>
                <w:sz w:val="16"/>
              </w:rPr>
              <w:t>retorno de ICMS - Política de</w:t>
            </w:r>
          </w:p>
          <w:p>
            <w:pPr>
              <w:pStyle w:val="TableParagraph"/>
              <w:spacing w:line="235" w:lineRule="auto"/>
              <w:ind w:left="823" w:right="1915"/>
              <w:rPr>
                <w:sz w:val="16"/>
              </w:rPr>
            </w:pPr>
            <w:r>
              <w:rPr>
                <w:sz w:val="16"/>
              </w:rPr>
              <w:t>Incentivo ao Desenvolvimento Econômico e a Geração de Empregos</w:t>
            </w:r>
          </w:p>
        </w:tc>
        <w:tc>
          <w:tcPr>
            <w:tcW w:w="2329" w:type="dxa"/>
          </w:tcPr>
          <w:p>
            <w:pPr>
              <w:pStyle w:val="TableParagraph"/>
              <w:spacing w:line="179" w:lineRule="exact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710" w:type="dxa"/>
          </w:tcPr>
          <w:p>
            <w:pPr>
              <w:pStyle w:val="TableParagraph"/>
              <w:spacing w:line="179" w:lineRule="exact"/>
              <w:ind w:left="367" w:right="236"/>
              <w:jc w:val="center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369" w:type="dxa"/>
          </w:tcPr>
          <w:p>
            <w:pPr>
              <w:pStyle w:val="TableParagraph"/>
              <w:spacing w:line="179" w:lineRule="exact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/>
              <w:ind w:left="44" w:right="47"/>
              <w:rPr>
                <w:sz w:val="16"/>
              </w:rPr>
            </w:pPr>
            <w:r>
              <w:rPr>
                <w:sz w:val="16"/>
              </w:rPr>
              <w:t>ARTIGO 14, I, LEI COMPLEMENTAR Nº 101/2000</w:t>
            </w:r>
          </w:p>
        </w:tc>
      </w:tr>
      <w:tr>
        <w:trPr>
          <w:trHeight w:val="137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IPTU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2983" w:val="left" w:leader="none"/>
              </w:tabs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Desconto Cota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Única -</w:t>
              <w:tab/>
            </w:r>
            <w:r>
              <w:rPr>
                <w:spacing w:val="-3"/>
                <w:sz w:val="16"/>
              </w:rPr>
              <w:t>DIVERSOS </w:t>
            </w:r>
            <w:r>
              <w:rPr>
                <w:sz w:val="16"/>
              </w:rPr>
              <w:t>Isenções - Desconto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Bom</w:t>
            </w:r>
          </w:p>
          <w:p>
            <w:pPr>
              <w:pStyle w:val="TableParagraph"/>
              <w:spacing w:line="235" w:lineRule="auto"/>
              <w:ind w:left="823" w:right="1915"/>
              <w:rPr>
                <w:sz w:val="16"/>
              </w:rPr>
            </w:pPr>
            <w:r>
              <w:rPr>
                <w:sz w:val="16"/>
              </w:rPr>
              <w:t>Pagador - Política de Incentivo ao Desenvolvimento Econômico e a Geração de Empregos - Calçada Legal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2.124.000,00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367"/>
              <w:jc w:val="center"/>
              <w:rPr>
                <w:sz w:val="16"/>
              </w:rPr>
            </w:pPr>
            <w:r>
              <w:rPr>
                <w:sz w:val="16"/>
              </w:rPr>
              <w:t>2.199.736,00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2.266.288,00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7"/>
              <w:rPr>
                <w:sz w:val="16"/>
              </w:rPr>
            </w:pPr>
            <w:r>
              <w:rPr>
                <w:sz w:val="16"/>
              </w:rPr>
              <w:t>ARTIGO 14, I, LEI COMPLEMENTAR Nº 101/2000</w:t>
            </w:r>
          </w:p>
        </w:tc>
      </w:tr>
      <w:tr>
        <w:trPr>
          <w:trHeight w:val="101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ISS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2983" w:val="left" w:leader="none"/>
              </w:tabs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Isenções 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Reduções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  <w:tab/>
            </w:r>
            <w:r>
              <w:rPr>
                <w:spacing w:val="-3"/>
                <w:sz w:val="16"/>
              </w:rPr>
              <w:t>DIVERSOS </w:t>
            </w:r>
            <w:r>
              <w:rPr>
                <w:sz w:val="16"/>
              </w:rPr>
              <w:t>Alíquotas - 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MCMV</w:t>
            </w:r>
          </w:p>
          <w:p>
            <w:pPr>
              <w:pStyle w:val="TableParagraph"/>
              <w:spacing w:line="235" w:lineRule="auto"/>
              <w:ind w:left="823" w:right="1915"/>
              <w:rPr>
                <w:sz w:val="16"/>
              </w:rPr>
            </w:pPr>
            <w:r>
              <w:rPr>
                <w:sz w:val="16"/>
              </w:rPr>
              <w:t>- Política de Incentivo ao Desenvolvimento Econômico e a Geração de Empregos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1.550.000,00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367"/>
              <w:jc w:val="center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1.650.000,00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7"/>
              <w:rPr>
                <w:sz w:val="16"/>
              </w:rPr>
            </w:pPr>
            <w:r>
              <w:rPr>
                <w:sz w:val="16"/>
              </w:rPr>
              <w:t>ARTIGO 14, I, LEI COMPLEMENTAR Nº 101/2000</w:t>
            </w:r>
          </w:p>
        </w:tc>
      </w:tr>
      <w:tr>
        <w:trPr>
          <w:trHeight w:val="101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ITBI</w:t>
            </w:r>
          </w:p>
        </w:tc>
        <w:tc>
          <w:tcPr>
            <w:tcW w:w="4822" w:type="dxa"/>
          </w:tcPr>
          <w:p>
            <w:pPr>
              <w:pStyle w:val="TableParagraph"/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Desconto Aquisição Primeiro DIVERSOS Imóvel - Programa MCMV -</w:t>
            </w:r>
          </w:p>
          <w:p>
            <w:pPr>
              <w:pStyle w:val="TableParagraph"/>
              <w:spacing w:line="235" w:lineRule="auto"/>
              <w:ind w:left="823" w:right="1915"/>
              <w:rPr>
                <w:sz w:val="16"/>
              </w:rPr>
            </w:pPr>
            <w:r>
              <w:rPr>
                <w:sz w:val="16"/>
              </w:rPr>
              <w:t>Política de Incentivo ao Desenvolvimento Econômico e a Geração de Empregos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226.000,00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236"/>
              <w:jc w:val="center"/>
              <w:rPr>
                <w:sz w:val="16"/>
              </w:rPr>
            </w:pPr>
            <w:r>
              <w:rPr>
                <w:sz w:val="16"/>
              </w:rPr>
              <w:t>233.910,00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242.096,00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7"/>
              <w:rPr>
                <w:sz w:val="16"/>
              </w:rPr>
            </w:pPr>
            <w:r>
              <w:rPr>
                <w:sz w:val="16"/>
              </w:rPr>
              <w:t>ARTIGO 14, I, LEI COMPLEMENTAR Nº 101/2000</w:t>
            </w:r>
          </w:p>
        </w:tc>
      </w:tr>
      <w:tr>
        <w:trPr>
          <w:trHeight w:val="1139" w:hRule="atLeast"/>
        </w:trPr>
        <w:tc>
          <w:tcPr>
            <w:tcW w:w="1401" w:type="dxa"/>
          </w:tcPr>
          <w:p>
            <w:pPr>
              <w:pStyle w:val="TableParagraph"/>
              <w:spacing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TAXAS</w:t>
            </w:r>
          </w:p>
        </w:tc>
        <w:tc>
          <w:tcPr>
            <w:tcW w:w="4822" w:type="dxa"/>
          </w:tcPr>
          <w:p>
            <w:pPr>
              <w:pStyle w:val="TableParagraph"/>
              <w:spacing w:line="235" w:lineRule="auto" w:before="58"/>
              <w:ind w:left="823" w:right="1004"/>
              <w:rPr>
                <w:sz w:val="16"/>
              </w:rPr>
            </w:pPr>
            <w:r>
              <w:rPr>
                <w:sz w:val="16"/>
              </w:rPr>
              <w:t>Isenção de Taxas incidentes DIVERSOS nos Processos de</w:t>
            </w:r>
          </w:p>
          <w:p>
            <w:pPr>
              <w:pStyle w:val="TableParagraph"/>
              <w:spacing w:line="180" w:lineRule="exact" w:before="3"/>
              <w:ind w:left="823" w:right="1915"/>
              <w:rPr>
                <w:sz w:val="16"/>
              </w:rPr>
            </w:pPr>
            <w:r>
              <w:rPr>
                <w:sz w:val="16"/>
              </w:rPr>
              <w:t>Licenciamento - Política de Incentivo ao Desenvolvimento Econômico e a Geração de Empregos</w:t>
            </w:r>
          </w:p>
        </w:tc>
        <w:tc>
          <w:tcPr>
            <w:tcW w:w="2329" w:type="dxa"/>
          </w:tcPr>
          <w:p>
            <w:pPr>
              <w:pStyle w:val="TableParagraph"/>
              <w:spacing w:before="55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ind w:left="367" w:right="147"/>
              <w:jc w:val="center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69" w:type="dxa"/>
          </w:tcPr>
          <w:p>
            <w:pPr>
              <w:pStyle w:val="TableParagraph"/>
              <w:spacing w:before="5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3024" w:type="dxa"/>
          </w:tcPr>
          <w:p>
            <w:pPr>
              <w:pStyle w:val="TableParagraph"/>
              <w:spacing w:line="235" w:lineRule="auto" w:before="58"/>
              <w:ind w:left="44" w:right="47"/>
              <w:rPr>
                <w:sz w:val="16"/>
              </w:rPr>
            </w:pPr>
            <w:r>
              <w:rPr>
                <w:sz w:val="16"/>
              </w:rPr>
              <w:t>ARTIGO 14, I, LEI COMPLEMENTAR Nº 101/2000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1694"/>
        <w:gridCol w:w="1711"/>
        <w:gridCol w:w="1709"/>
        <w:gridCol w:w="3663"/>
      </w:tblGrid>
      <w:tr>
        <w:trPr>
          <w:trHeight w:val="330" w:hRule="atLeast"/>
        </w:trPr>
        <w:tc>
          <w:tcPr>
            <w:tcW w:w="6518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75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694" w:type="dxa"/>
            <w:shd w:val="clear" w:color="auto" w:fill="F0F0F0"/>
          </w:tcPr>
          <w:p>
            <w:pPr>
              <w:pStyle w:val="TableParagraph"/>
              <w:spacing w:before="75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4.040.000,00</w:t>
            </w:r>
          </w:p>
        </w:tc>
        <w:tc>
          <w:tcPr>
            <w:tcW w:w="1711" w:type="dxa"/>
            <w:shd w:val="clear" w:color="auto" w:fill="F0F0F0"/>
          </w:tcPr>
          <w:p>
            <w:pPr>
              <w:pStyle w:val="TableParagraph"/>
              <w:spacing w:before="75"/>
              <w:ind w:left="720"/>
              <w:rPr>
                <w:b/>
                <w:sz w:val="16"/>
              </w:rPr>
            </w:pPr>
            <w:r>
              <w:rPr>
                <w:b/>
                <w:sz w:val="16"/>
              </w:rPr>
              <w:t>4.173.646,00</w:t>
            </w:r>
          </w:p>
        </w:tc>
        <w:tc>
          <w:tcPr>
            <w:tcW w:w="1709" w:type="dxa"/>
            <w:shd w:val="clear" w:color="auto" w:fill="F0F0F0"/>
          </w:tcPr>
          <w:p>
            <w:pPr>
              <w:pStyle w:val="TableParagraph"/>
              <w:spacing w:before="75"/>
              <w:ind w:left="720"/>
              <w:rPr>
                <w:b/>
                <w:sz w:val="16"/>
              </w:rPr>
            </w:pPr>
            <w:r>
              <w:rPr>
                <w:b/>
                <w:sz w:val="16"/>
              </w:rPr>
              <w:t>4.298.384,00</w:t>
            </w:r>
          </w:p>
        </w:tc>
        <w:tc>
          <w:tcPr>
            <w:tcW w:w="3663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00" w:orient="landscape"/>
      <w:pgMar w:top="380" w:bottom="280" w:left="2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10 Estimativa e Compensação da Renúncia de Receita LDO 2021</dc:title>
  <dcterms:created xsi:type="dcterms:W3CDTF">2020-08-14T19:15:04Z</dcterms:created>
  <dcterms:modified xsi:type="dcterms:W3CDTF">2020-08-14T19:15:04Z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2020-08-14T00:00:00Z</vt:filetime>
  </property>
</Properties>
</file>