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331" w:lineRule="auto" w:before="76"/>
        <w:ind w:left="2122" w:right="2322" w:firstLine="0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b/>
          <w:i/>
          <w:sz w:val="20"/>
        </w:rPr>
        <w:t>Prefeitura Municipal de Esteio - Consolidação</w:t>
      </w:r>
      <w:r>
        <w:rPr>
          <w:rFonts w:ascii="Times New Roman" w:hAnsi="Times New Roman"/>
          <w:b/>
          <w:i/>
          <w:spacing w:val="-22"/>
          <w:sz w:val="20"/>
        </w:rPr>
        <w:t> </w:t>
      </w:r>
      <w:r>
        <w:rPr>
          <w:rFonts w:ascii="Times New Roman" w:hAnsi="Times New Roman"/>
          <w:b/>
          <w:i/>
          <w:spacing w:val="-4"/>
          <w:sz w:val="20"/>
        </w:rPr>
        <w:t>Total </w:t>
      </w:r>
      <w:r>
        <w:rPr>
          <w:rFonts w:ascii="Times New Roman" w:hAnsi="Times New Roman"/>
          <w:sz w:val="20"/>
        </w:rPr>
        <w:t>LEI DE DIRETRIZES ORÇAMENTÁRIAS ANEXO DE </w:t>
      </w:r>
      <w:r>
        <w:rPr>
          <w:rFonts w:ascii="Times New Roman" w:hAnsi="Times New Roman"/>
          <w:spacing w:val="-4"/>
          <w:sz w:val="20"/>
        </w:rPr>
        <w:t>METAS</w:t>
      </w:r>
      <w:r>
        <w:rPr>
          <w:rFonts w:ascii="Times New Roman" w:hAnsi="Times New Roman"/>
          <w:spacing w:val="-2"/>
          <w:sz w:val="20"/>
        </w:rPr>
        <w:t> </w:t>
      </w:r>
      <w:r>
        <w:rPr>
          <w:rFonts w:ascii="Times New Roman" w:hAnsi="Times New Roman"/>
          <w:sz w:val="20"/>
        </w:rPr>
        <w:t>FISCAIS</w:t>
      </w:r>
    </w:p>
    <w:p>
      <w:pPr>
        <w:pStyle w:val="BodyText"/>
        <w:spacing w:before="1"/>
        <w:ind w:left="60" w:right="260"/>
        <w:jc w:val="center"/>
      </w:pPr>
      <w:r>
        <w:rPr/>
        <w:t>MARGEM DE EXPANSÃO DAS DESPESAS OBRIGATÓRIAS DE CARÁTER CONTINUADO</w:t>
      </w:r>
    </w:p>
    <w:p>
      <w:pPr>
        <w:spacing w:before="91"/>
        <w:ind w:left="60" w:right="241" w:firstLine="0"/>
        <w:jc w:val="center"/>
        <w:rPr>
          <w:rFonts w:ascii="Times New Roman" w:hAnsi="Times New Roman"/>
          <w:b/>
          <w:i/>
          <w:sz w:val="20"/>
        </w:rPr>
      </w:pPr>
      <w:r>
        <w:rPr>
          <w:rFonts w:ascii="Times New Roman" w:hAnsi="Times New Roman"/>
          <w:b/>
          <w:i/>
          <w:sz w:val="20"/>
        </w:rPr>
        <w:t>Exercício de 2021</w:t>
      </w: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spacing w:before="11"/>
        <w:rPr>
          <w:i/>
          <w:sz w:val="21"/>
        </w:rPr>
      </w:pPr>
    </w:p>
    <w:p>
      <w:pPr>
        <w:tabs>
          <w:tab w:pos="7251" w:val="left" w:leader="none"/>
        </w:tabs>
        <w:spacing w:before="93"/>
        <w:ind w:left="768" w:right="0" w:firstLine="0"/>
        <w:jc w:val="left"/>
        <w:rPr>
          <w:rFonts w:ascii="Times New Roman" w:hAnsi="Times New Roman"/>
          <w:sz w:val="14"/>
        </w:rPr>
      </w:pPr>
      <w:r>
        <w:rPr>
          <w:rFonts w:ascii="Times New Roman" w:hAnsi="Times New Roman"/>
          <w:sz w:val="14"/>
        </w:rPr>
        <w:t>AMF</w:t>
      </w:r>
      <w:r>
        <w:rPr>
          <w:rFonts w:ascii="Times New Roman" w:hAnsi="Times New Roman"/>
          <w:spacing w:val="-7"/>
          <w:sz w:val="14"/>
        </w:rPr>
        <w:t> </w:t>
      </w:r>
      <w:r>
        <w:rPr>
          <w:rFonts w:ascii="Times New Roman" w:hAnsi="Times New Roman"/>
          <w:sz w:val="14"/>
        </w:rPr>
        <w:t>-</w:t>
      </w:r>
      <w:r>
        <w:rPr>
          <w:rFonts w:ascii="Times New Roman" w:hAnsi="Times New Roman"/>
          <w:spacing w:val="-4"/>
          <w:sz w:val="14"/>
        </w:rPr>
        <w:t> </w:t>
      </w:r>
      <w:r>
        <w:rPr>
          <w:rFonts w:ascii="Times New Roman" w:hAnsi="Times New Roman"/>
          <w:sz w:val="14"/>
        </w:rPr>
        <w:t>Demonstrativo</w:t>
      </w:r>
      <w:r>
        <w:rPr>
          <w:rFonts w:ascii="Times New Roman" w:hAnsi="Times New Roman"/>
          <w:spacing w:val="-7"/>
          <w:sz w:val="14"/>
        </w:rPr>
        <w:t> </w:t>
      </w:r>
      <w:r>
        <w:rPr>
          <w:rFonts w:ascii="Times New Roman" w:hAnsi="Times New Roman"/>
          <w:sz w:val="14"/>
        </w:rPr>
        <w:t>VIII</w:t>
      </w:r>
      <w:r>
        <w:rPr>
          <w:rFonts w:ascii="Times New Roman" w:hAnsi="Times New Roman"/>
          <w:spacing w:val="-4"/>
          <w:sz w:val="14"/>
        </w:rPr>
        <w:t> (LRF,</w:t>
      </w:r>
      <w:r>
        <w:rPr>
          <w:rFonts w:ascii="Times New Roman" w:hAnsi="Times New Roman"/>
          <w:spacing w:val="-3"/>
          <w:sz w:val="14"/>
        </w:rPr>
        <w:t> </w:t>
      </w:r>
      <w:r>
        <w:rPr>
          <w:rFonts w:ascii="Times New Roman" w:hAnsi="Times New Roman"/>
          <w:sz w:val="14"/>
        </w:rPr>
        <w:t>art.4º,§</w:t>
      </w:r>
      <w:r>
        <w:rPr>
          <w:rFonts w:ascii="Times New Roman" w:hAnsi="Times New Roman"/>
          <w:spacing w:val="-4"/>
          <w:sz w:val="14"/>
        </w:rPr>
        <w:t> </w:t>
      </w:r>
      <w:r>
        <w:rPr>
          <w:rFonts w:ascii="Times New Roman" w:hAnsi="Times New Roman"/>
          <w:sz w:val="14"/>
        </w:rPr>
        <w:t>2º,</w:t>
      </w:r>
      <w:r>
        <w:rPr>
          <w:rFonts w:ascii="Times New Roman" w:hAnsi="Times New Roman"/>
          <w:spacing w:val="-2"/>
          <w:sz w:val="14"/>
        </w:rPr>
        <w:t> </w:t>
      </w:r>
      <w:r>
        <w:rPr>
          <w:rFonts w:ascii="Times New Roman" w:hAnsi="Times New Roman"/>
          <w:sz w:val="14"/>
        </w:rPr>
        <w:t>inciso</w:t>
      </w:r>
      <w:r>
        <w:rPr>
          <w:rFonts w:ascii="Times New Roman" w:hAnsi="Times New Roman"/>
          <w:spacing w:val="-7"/>
          <w:sz w:val="14"/>
        </w:rPr>
        <w:t> </w:t>
      </w:r>
      <w:r>
        <w:rPr>
          <w:rFonts w:ascii="Times New Roman" w:hAnsi="Times New Roman"/>
          <w:sz w:val="14"/>
        </w:rPr>
        <w:t>V)</w:t>
        <w:tab/>
        <w:t>R$</w:t>
      </w:r>
      <w:r>
        <w:rPr>
          <w:rFonts w:ascii="Times New Roman" w:hAnsi="Times New Roman"/>
          <w:spacing w:val="1"/>
          <w:sz w:val="14"/>
        </w:rPr>
        <w:t> </w:t>
      </w:r>
      <w:r>
        <w:rPr>
          <w:rFonts w:ascii="Times New Roman" w:hAnsi="Times New Roman"/>
          <w:sz w:val="14"/>
        </w:rPr>
        <w:t>Reais</w:t>
      </w:r>
    </w:p>
    <w:p>
      <w:pPr>
        <w:pStyle w:val="BodyText"/>
        <w:spacing w:before="4"/>
        <w:rPr>
          <w:b w:val="0"/>
          <w:sz w:val="6"/>
        </w:rPr>
      </w:pPr>
    </w:p>
    <w:tbl>
      <w:tblPr>
        <w:tblW w:w="0" w:type="auto"/>
        <w:jc w:val="left"/>
        <w:tblInd w:w="74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09"/>
        <w:gridCol w:w="2340"/>
      </w:tblGrid>
      <w:tr>
        <w:trPr>
          <w:trHeight w:val="458" w:hRule="atLeast"/>
        </w:trPr>
        <w:tc>
          <w:tcPr>
            <w:tcW w:w="4709" w:type="dxa"/>
            <w:tcBorders>
              <w:top w:val="nil"/>
              <w:left w:val="nil"/>
            </w:tcBorders>
            <w:shd w:val="clear" w:color="auto" w:fill="F0F0F0"/>
          </w:tcPr>
          <w:p>
            <w:pPr>
              <w:pStyle w:val="TableParagraph"/>
              <w:spacing w:before="109"/>
              <w:ind w:left="1902" w:right="1898"/>
              <w:jc w:val="center"/>
              <w:rPr>
                <w:b/>
                <w:sz w:val="18"/>
              </w:rPr>
            </w:pPr>
            <w:r>
              <w:rPr>
                <w:b/>
                <w:sz w:val="18"/>
                <w:u w:val="single"/>
              </w:rPr>
              <w:t>EVENTOS</w:t>
            </w:r>
          </w:p>
        </w:tc>
        <w:tc>
          <w:tcPr>
            <w:tcW w:w="2340" w:type="dxa"/>
            <w:tcBorders>
              <w:top w:val="nil"/>
              <w:right w:val="nil"/>
            </w:tcBorders>
            <w:shd w:val="clear" w:color="auto" w:fill="F0F0F0"/>
          </w:tcPr>
          <w:p>
            <w:pPr>
              <w:pStyle w:val="TableParagraph"/>
              <w:spacing w:before="119"/>
              <w:ind w:left="285" w:right="0"/>
              <w:rPr>
                <w:b/>
                <w:sz w:val="18"/>
              </w:rPr>
            </w:pPr>
            <w:r>
              <w:rPr>
                <w:b/>
                <w:sz w:val="18"/>
              </w:rPr>
              <w:t>Valor Previsto - 2021</w:t>
            </w:r>
          </w:p>
        </w:tc>
      </w:tr>
      <w:tr>
        <w:trPr>
          <w:trHeight w:val="1036" w:hRule="atLeast"/>
        </w:trPr>
        <w:tc>
          <w:tcPr>
            <w:tcW w:w="4709" w:type="dxa"/>
            <w:tcBorders>
              <w:left w:val="nil"/>
            </w:tcBorders>
          </w:tcPr>
          <w:p>
            <w:pPr>
              <w:pStyle w:val="TableParagraph"/>
              <w:ind w:left="179" w:right="0"/>
              <w:rPr>
                <w:sz w:val="18"/>
              </w:rPr>
            </w:pPr>
            <w:r>
              <w:rPr>
                <w:sz w:val="18"/>
              </w:rPr>
              <w:t>Aumento Permanente da</w:t>
            </w:r>
            <w:r>
              <w:rPr>
                <w:spacing w:val="3"/>
                <w:sz w:val="18"/>
              </w:rPr>
              <w:t> </w:t>
            </w:r>
            <w:r>
              <w:rPr>
                <w:sz w:val="18"/>
              </w:rPr>
              <w:t>Receita</w:t>
            </w:r>
          </w:p>
          <w:p>
            <w:pPr>
              <w:pStyle w:val="TableParagraph"/>
              <w:spacing w:line="310" w:lineRule="atLeast" w:before="5"/>
              <w:ind w:left="374" w:right="1626"/>
              <w:rPr>
                <w:sz w:val="18"/>
              </w:rPr>
            </w:pPr>
            <w:r>
              <w:rPr>
                <w:sz w:val="18"/>
              </w:rPr>
              <w:t>(-) Transferências Constitucionais (-) Transferências ao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FUNDEB</w:t>
            </w:r>
          </w:p>
        </w:tc>
        <w:tc>
          <w:tcPr>
            <w:tcW w:w="2340" w:type="dxa"/>
            <w:tcBorders>
              <w:right w:val="nil"/>
            </w:tcBorders>
          </w:tcPr>
          <w:p>
            <w:pPr>
              <w:pStyle w:val="TableParagraph"/>
              <w:spacing w:before="10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3.350.000,00</w:t>
            </w:r>
          </w:p>
          <w:p>
            <w:pPr>
              <w:pStyle w:val="TableParagraph"/>
              <w:spacing w:before="107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1.340.000,00</w:t>
            </w:r>
          </w:p>
          <w:p>
            <w:pPr>
              <w:pStyle w:val="TableParagraph"/>
              <w:spacing w:before="108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0,00</w:t>
            </w:r>
          </w:p>
        </w:tc>
      </w:tr>
      <w:tr>
        <w:trPr>
          <w:trHeight w:val="404" w:hRule="atLeast"/>
        </w:trPr>
        <w:tc>
          <w:tcPr>
            <w:tcW w:w="4709" w:type="dxa"/>
            <w:tcBorders>
              <w:left w:val="nil"/>
            </w:tcBorders>
          </w:tcPr>
          <w:p>
            <w:pPr>
              <w:pStyle w:val="TableParagraph"/>
              <w:spacing w:before="85"/>
              <w:ind w:left="179" w:right="0"/>
              <w:rPr>
                <w:sz w:val="18"/>
              </w:rPr>
            </w:pPr>
            <w:r>
              <w:rPr>
                <w:sz w:val="18"/>
              </w:rPr>
              <w:t>Saldo Final do Aumento Permanente de Receita (I)</w:t>
            </w:r>
          </w:p>
        </w:tc>
        <w:tc>
          <w:tcPr>
            <w:tcW w:w="2340" w:type="dxa"/>
            <w:tcBorders>
              <w:right w:val="nil"/>
            </w:tcBorders>
          </w:tcPr>
          <w:p>
            <w:pPr>
              <w:pStyle w:val="TableParagraph"/>
              <w:spacing w:before="99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2.010.000,00</w:t>
            </w:r>
          </w:p>
        </w:tc>
      </w:tr>
      <w:tr>
        <w:trPr>
          <w:trHeight w:val="433" w:hRule="atLeast"/>
        </w:trPr>
        <w:tc>
          <w:tcPr>
            <w:tcW w:w="4709" w:type="dxa"/>
            <w:tcBorders>
              <w:left w:val="nil"/>
            </w:tcBorders>
          </w:tcPr>
          <w:p>
            <w:pPr>
              <w:pStyle w:val="TableParagraph"/>
              <w:spacing w:before="85"/>
              <w:ind w:left="179" w:right="0"/>
              <w:rPr>
                <w:sz w:val="18"/>
              </w:rPr>
            </w:pPr>
            <w:r>
              <w:rPr>
                <w:sz w:val="18"/>
              </w:rPr>
              <w:t>Redução Permanente de Despesa (II)</w:t>
            </w:r>
          </w:p>
        </w:tc>
        <w:tc>
          <w:tcPr>
            <w:tcW w:w="2340" w:type="dxa"/>
            <w:tcBorders>
              <w:right w:val="nil"/>
            </w:tcBorders>
          </w:tcPr>
          <w:p>
            <w:pPr>
              <w:pStyle w:val="TableParagraph"/>
              <w:spacing w:before="99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0,00</w:t>
            </w:r>
          </w:p>
        </w:tc>
      </w:tr>
      <w:tr>
        <w:trPr>
          <w:trHeight w:val="404" w:hRule="atLeast"/>
        </w:trPr>
        <w:tc>
          <w:tcPr>
            <w:tcW w:w="4709" w:type="dxa"/>
            <w:tcBorders>
              <w:left w:val="nil"/>
            </w:tcBorders>
            <w:shd w:val="clear" w:color="auto" w:fill="F0F0F0"/>
          </w:tcPr>
          <w:p>
            <w:pPr>
              <w:pStyle w:val="TableParagraph"/>
              <w:ind w:left="179" w:right="0"/>
              <w:rPr>
                <w:b/>
                <w:sz w:val="18"/>
              </w:rPr>
            </w:pPr>
            <w:r>
              <w:rPr>
                <w:b/>
                <w:sz w:val="18"/>
              </w:rPr>
              <w:t>Margem Bruta (III) = (I + II)</w:t>
            </w:r>
          </w:p>
        </w:tc>
        <w:tc>
          <w:tcPr>
            <w:tcW w:w="2340" w:type="dxa"/>
            <w:tcBorders>
              <w:right w:val="nil"/>
            </w:tcBorders>
            <w:shd w:val="clear" w:color="auto" w:fill="F0F0F0"/>
          </w:tcPr>
          <w:p>
            <w:pPr>
              <w:pStyle w:val="TableParagraph"/>
              <w:spacing w:before="104"/>
              <w:jc w:val="right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2.010.000,00</w:t>
            </w:r>
          </w:p>
        </w:tc>
      </w:tr>
      <w:tr>
        <w:trPr>
          <w:trHeight w:val="358" w:hRule="atLeast"/>
        </w:trPr>
        <w:tc>
          <w:tcPr>
            <w:tcW w:w="4709" w:type="dxa"/>
            <w:tcBorders>
              <w:left w:val="nil"/>
              <w:bottom w:val="nil"/>
            </w:tcBorders>
          </w:tcPr>
          <w:p>
            <w:pPr>
              <w:pStyle w:val="TableParagraph"/>
              <w:ind w:left="179" w:right="0"/>
              <w:rPr>
                <w:sz w:val="18"/>
              </w:rPr>
            </w:pPr>
            <w:r>
              <w:rPr>
                <w:sz w:val="18"/>
              </w:rPr>
              <w:t>Saldo Utilizado de Margem Bruta (IV)</w:t>
            </w:r>
          </w:p>
        </w:tc>
        <w:tc>
          <w:tcPr>
            <w:tcW w:w="2340" w:type="dxa"/>
            <w:tcBorders>
              <w:bottom w:val="nil"/>
              <w:right w:val="nil"/>
            </w:tcBorders>
          </w:tcPr>
          <w:p>
            <w:pPr>
              <w:pStyle w:val="TableParagraph"/>
              <w:spacing w:before="10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1.608.000,00</w:t>
            </w:r>
          </w:p>
        </w:tc>
      </w:tr>
      <w:tr>
        <w:trPr>
          <w:trHeight w:val="314" w:hRule="atLeast"/>
        </w:trPr>
        <w:tc>
          <w:tcPr>
            <w:tcW w:w="4709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before="43"/>
              <w:ind w:left="374" w:right="0"/>
              <w:rPr>
                <w:sz w:val="18"/>
              </w:rPr>
            </w:pPr>
            <w:r>
              <w:rPr>
                <w:sz w:val="18"/>
              </w:rPr>
              <w:t>Novas DOCC</w:t>
            </w:r>
          </w:p>
        </w:tc>
        <w:tc>
          <w:tcPr>
            <w:tcW w:w="2340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58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1.608.000,00</w:t>
            </w:r>
          </w:p>
        </w:tc>
      </w:tr>
      <w:tr>
        <w:trPr>
          <w:trHeight w:val="392" w:hRule="atLeast"/>
        </w:trPr>
        <w:tc>
          <w:tcPr>
            <w:tcW w:w="4709" w:type="dxa"/>
            <w:tcBorders>
              <w:top w:val="nil"/>
              <w:left w:val="nil"/>
            </w:tcBorders>
          </w:tcPr>
          <w:p>
            <w:pPr>
              <w:pStyle w:val="TableParagraph"/>
              <w:spacing w:before="43"/>
              <w:ind w:left="374" w:right="0"/>
              <w:rPr>
                <w:sz w:val="18"/>
              </w:rPr>
            </w:pPr>
            <w:r>
              <w:rPr>
                <w:sz w:val="18"/>
              </w:rPr>
              <w:t>Novas DOCC geradas por PPP</w:t>
            </w:r>
          </w:p>
        </w:tc>
        <w:tc>
          <w:tcPr>
            <w:tcW w:w="2340" w:type="dxa"/>
            <w:tcBorders>
              <w:top w:val="nil"/>
              <w:right w:val="nil"/>
            </w:tcBorders>
          </w:tcPr>
          <w:p>
            <w:pPr>
              <w:pStyle w:val="TableParagraph"/>
              <w:spacing w:before="58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0,00</w:t>
            </w:r>
          </w:p>
        </w:tc>
      </w:tr>
      <w:tr>
        <w:trPr>
          <w:trHeight w:val="404" w:hRule="atLeast"/>
        </w:trPr>
        <w:tc>
          <w:tcPr>
            <w:tcW w:w="4709" w:type="dxa"/>
            <w:tcBorders>
              <w:left w:val="nil"/>
            </w:tcBorders>
            <w:shd w:val="clear" w:color="auto" w:fill="F0F0F0"/>
          </w:tcPr>
          <w:p>
            <w:pPr>
              <w:pStyle w:val="TableParagraph"/>
              <w:spacing w:before="102"/>
              <w:ind w:left="179" w:right="0"/>
              <w:rPr>
                <w:b/>
                <w:sz w:val="18"/>
              </w:rPr>
            </w:pPr>
            <w:r>
              <w:rPr>
                <w:b/>
                <w:sz w:val="18"/>
              </w:rPr>
              <w:t>Margem Líquida de Expansão de DOCC (V) = (III - IV)</w:t>
            </w:r>
          </w:p>
        </w:tc>
        <w:tc>
          <w:tcPr>
            <w:tcW w:w="2340" w:type="dxa"/>
            <w:tcBorders>
              <w:right w:val="nil"/>
            </w:tcBorders>
            <w:shd w:val="clear" w:color="auto" w:fill="F0F0F0"/>
          </w:tcPr>
          <w:p>
            <w:pPr>
              <w:pStyle w:val="TableParagraph"/>
              <w:spacing w:before="119"/>
              <w:jc w:val="right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402.000,00</w:t>
            </w:r>
          </w:p>
        </w:tc>
      </w:tr>
    </w:tbl>
    <w:sectPr>
      <w:type w:val="continuous"/>
      <w:pgSz w:w="11900" w:h="16840"/>
      <w:pgMar w:top="380" w:bottom="280" w:left="1480" w:right="1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t-PT" w:eastAsia="pt-PT" w:bidi="pt-PT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b/>
      <w:bCs/>
      <w:sz w:val="20"/>
      <w:szCs w:val="20"/>
      <w:lang w:val="pt-PT" w:eastAsia="pt-PT" w:bidi="pt-PT"/>
    </w:rPr>
  </w:style>
  <w:style w:styleId="ListParagraph" w:type="paragraph">
    <w:name w:val="List Paragraph"/>
    <w:basedOn w:val="Normal"/>
    <w:uiPriority w:val="1"/>
    <w:qFormat/>
    <w:pPr/>
    <w:rPr>
      <w:lang w:val="pt-PT" w:eastAsia="pt-PT" w:bidi="pt-PT"/>
    </w:rPr>
  </w:style>
  <w:style w:styleId="TableParagraph" w:type="paragraph">
    <w:name w:val="Table Paragraph"/>
    <w:basedOn w:val="Normal"/>
    <w:uiPriority w:val="1"/>
    <w:qFormat/>
    <w:pPr>
      <w:spacing w:before="87"/>
      <w:ind w:right="195"/>
    </w:pPr>
    <w:rPr>
      <w:rFonts w:ascii="Arial" w:hAnsi="Arial" w:eastAsia="Arial" w:cs="Arial"/>
      <w:lang w:val="pt-PT" w:eastAsia="pt-PT" w:bidi="pt-PT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65458818091</dc:creator>
  <dc:title>11 Margem de Expansão das DOCC LDO 2021</dc:title>
  <dcterms:created xsi:type="dcterms:W3CDTF">2020-08-14T19:15:30Z</dcterms:created>
  <dcterms:modified xsi:type="dcterms:W3CDTF">2020-08-14T19:15:30Z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2020-07-30T00:00:00Z</vt:filetime>
  </property>
  <property fmtid="{D5CDD505-2E9C-101B-9397-08002B2CF9AE}" pid="3" name="Creator">
    <vt:lpwstr>PDFCreator 2.1.2.0</vt:lpwstr>
  </property>
  <property fmtid="{D5CDD505-2E9C-101B-9397-08002B2CF9AE}" pid="4" name="LastSaved">
    <vt:filetime>2020-08-14T00:00:00Z</vt:filetime>
  </property>
</Properties>
</file>