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5632" w:right="5662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Municipal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Esteio</w:t>
      </w:r>
      <w:r>
        <w:rPr>
          <w:rFonts w:ascii="Times New Roman" w:hAnsi="Times New Roman"/>
          <w:b/>
          <w:i/>
          <w:spacing w:val="-5"/>
          <w:sz w:val="20"/>
        </w:rPr>
        <w:t> </w:t>
      </w:r>
      <w:r>
        <w:rPr>
          <w:rFonts w:ascii="Times New Roman" w:hAnsi="Times New Roman"/>
          <w:b/>
          <w:i/>
          <w:sz w:val="20"/>
        </w:rPr>
        <w:t>-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Consolidação</w:t>
      </w:r>
      <w:r>
        <w:rPr>
          <w:rFonts w:ascii="Times New Roman" w:hAnsi="Times New Roman"/>
          <w:b/>
          <w:i/>
          <w:spacing w:val="-6"/>
          <w:sz w:val="20"/>
        </w:rPr>
        <w:t> </w:t>
      </w:r>
      <w:r>
        <w:rPr>
          <w:rFonts w:ascii="Times New Roman" w:hAnsi="Times New Roman"/>
          <w:b/>
          <w:i/>
          <w:sz w:val="20"/>
        </w:rPr>
        <w:t>Total</w:t>
      </w:r>
      <w:r>
        <w:rPr>
          <w:rFonts w:ascii="Times New Roman" w:hAnsi="Times New Roman"/>
          <w:b/>
          <w:i/>
          <w:spacing w:val="-47"/>
          <w:sz w:val="20"/>
        </w:rPr>
        <w:t> </w:t>
      </w:r>
      <w:r>
        <w:rPr>
          <w:rFonts w:ascii="Times New Roman" w:hAnsi="Times New Roman"/>
          <w:sz w:val="20"/>
        </w:rPr>
        <w:t>LEI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DIRETRIZES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ORÇAMENTÁRIAS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ANEXO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 METAS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pStyle w:val="Title"/>
      </w:pPr>
      <w:r>
        <w:rPr>
          <w:spacing w:val="-2"/>
        </w:rPr>
        <w:t>METAS</w:t>
      </w:r>
      <w:r>
        <w:rPr>
          <w:spacing w:val="-12"/>
        </w:rPr>
        <w:t> </w:t>
      </w:r>
      <w:r>
        <w:rPr>
          <w:spacing w:val="-2"/>
        </w:rPr>
        <w:t>ANUAIS</w:t>
      </w:r>
    </w:p>
    <w:p>
      <w:pPr>
        <w:spacing w:before="91"/>
        <w:ind w:left="7017" w:right="7038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de</w:t>
      </w:r>
      <w:r>
        <w:rPr>
          <w:rFonts w:ascii="Times New Roman" w:hAnsi="Times New Roman"/>
          <w:b/>
          <w:i/>
          <w:spacing w:val="-2"/>
          <w:sz w:val="20"/>
        </w:rPr>
        <w:t> </w:t>
      </w:r>
      <w:r>
        <w:rPr>
          <w:rFonts w:ascii="Times New Roman" w:hAnsi="Times New Roman"/>
          <w:b/>
          <w:i/>
          <w:sz w:val="20"/>
        </w:rPr>
        <w:t>2023</w:t>
      </w:r>
    </w:p>
    <w:p>
      <w:pPr>
        <w:pStyle w:val="BodyText"/>
        <w:spacing w:before="10"/>
        <w:rPr>
          <w:b/>
          <w:i/>
          <w:sz w:val="13"/>
        </w:rPr>
      </w:pPr>
    </w:p>
    <w:p>
      <w:pPr>
        <w:pStyle w:val="BodyText"/>
        <w:tabs>
          <w:tab w:pos="14925" w:val="left" w:leader="none"/>
        </w:tabs>
        <w:spacing w:before="1"/>
        <w:ind w:left="148"/>
      </w:pPr>
      <w:r>
        <w:rPr>
          <w:spacing w:val="-1"/>
        </w:rPr>
        <w:t>AMF</w:t>
      </w:r>
      <w:r>
        <w:rPr>
          <w:spacing w:val="-8"/>
        </w:rPr>
        <w:t> </w:t>
      </w:r>
      <w:r>
        <w:rPr>
          <w:spacing w:val="-1"/>
        </w:rPr>
        <w:t>-</w:t>
      </w:r>
      <w:r>
        <w:rPr>
          <w:spacing w:val="-4"/>
        </w:rPr>
        <w:t> </w:t>
      </w:r>
      <w:r>
        <w:rPr>
          <w:spacing w:val="-1"/>
        </w:rPr>
        <w:t>Demonstrativo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(LRF,</w:t>
      </w:r>
      <w:r>
        <w:rPr>
          <w:spacing w:val="-3"/>
        </w:rPr>
        <w:t> </w:t>
      </w:r>
      <w:r>
        <w:rPr/>
        <w:t>art.4º,§</w:t>
      </w:r>
      <w:r>
        <w:rPr>
          <w:spacing w:val="-5"/>
        </w:rPr>
        <w:t> </w:t>
      </w:r>
      <w:r>
        <w:rPr/>
        <w:t>1º)</w:t>
        <w:tab/>
        <w:t>R$</w:t>
      </w:r>
      <w:r>
        <w:rPr>
          <w:spacing w:val="-2"/>
        </w:rPr>
        <w:t> </w:t>
      </w:r>
      <w:r>
        <w:rPr/>
        <w:t>Reais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4"/>
        <w:gridCol w:w="1454"/>
        <w:gridCol w:w="1454"/>
        <w:gridCol w:w="751"/>
        <w:gridCol w:w="749"/>
        <w:gridCol w:w="1457"/>
        <w:gridCol w:w="1455"/>
        <w:gridCol w:w="749"/>
        <w:gridCol w:w="751"/>
        <w:gridCol w:w="1454"/>
        <w:gridCol w:w="1454"/>
        <w:gridCol w:w="751"/>
        <w:gridCol w:w="763"/>
      </w:tblGrid>
      <w:tr>
        <w:trPr>
          <w:trHeight w:val="196" w:hRule="atLeast"/>
        </w:trPr>
        <w:tc>
          <w:tcPr>
            <w:tcW w:w="2114" w:type="dxa"/>
            <w:vMerge w:val="restart"/>
            <w:shd w:val="clear" w:color="auto" w:fill="F0F0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ESPECIFICAÇÃO</w:t>
            </w:r>
          </w:p>
        </w:tc>
        <w:tc>
          <w:tcPr>
            <w:tcW w:w="4408" w:type="dxa"/>
            <w:gridSpan w:val="4"/>
            <w:shd w:val="clear" w:color="auto" w:fill="F0F0F0"/>
          </w:tcPr>
          <w:p>
            <w:pPr>
              <w:pStyle w:val="TableParagraph"/>
              <w:spacing w:line="157" w:lineRule="exact" w:before="19"/>
              <w:ind w:left="2034" w:right="200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4412" w:type="dxa"/>
            <w:gridSpan w:val="4"/>
            <w:shd w:val="clear" w:color="auto" w:fill="F0F0F0"/>
          </w:tcPr>
          <w:p>
            <w:pPr>
              <w:pStyle w:val="TableParagraph"/>
              <w:spacing w:line="157" w:lineRule="exact" w:before="19"/>
              <w:ind w:left="2038" w:right="200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4422" w:type="dxa"/>
            <w:gridSpan w:val="4"/>
            <w:shd w:val="clear" w:color="auto" w:fill="F0F0F0"/>
          </w:tcPr>
          <w:p>
            <w:pPr>
              <w:pStyle w:val="TableParagraph"/>
              <w:spacing w:line="157" w:lineRule="exact" w:before="19"/>
              <w:ind w:left="2034" w:right="20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</w:tr>
      <w:tr>
        <w:trPr>
          <w:trHeight w:val="385" w:hRule="atLeast"/>
        </w:trPr>
        <w:tc>
          <w:tcPr>
            <w:tcW w:w="2114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shd w:val="clear" w:color="auto" w:fill="F0F0F0"/>
          </w:tcPr>
          <w:p>
            <w:pPr>
              <w:pStyle w:val="TableParagraph"/>
              <w:spacing w:before="17"/>
              <w:ind w:left="232" w:right="20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</w:p>
          <w:p>
            <w:pPr>
              <w:pStyle w:val="TableParagraph"/>
              <w:spacing w:before="42"/>
              <w:ind w:left="228" w:right="204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1454" w:type="dxa"/>
            <w:shd w:val="clear" w:color="auto" w:fill="F0F0F0"/>
          </w:tcPr>
          <w:p>
            <w:pPr>
              <w:pStyle w:val="TableParagraph"/>
              <w:spacing w:before="17"/>
              <w:ind w:left="2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Valor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Constante</w:t>
            </w:r>
          </w:p>
        </w:tc>
        <w:tc>
          <w:tcPr>
            <w:tcW w:w="751" w:type="dxa"/>
            <w:shd w:val="clear" w:color="auto" w:fill="F0F0F0"/>
          </w:tcPr>
          <w:p>
            <w:pPr>
              <w:pStyle w:val="TableParagraph"/>
              <w:spacing w:before="17"/>
              <w:ind w:left="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PIB</w:t>
            </w:r>
          </w:p>
          <w:p>
            <w:pPr>
              <w:pStyle w:val="TableParagraph"/>
              <w:spacing w:before="42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(a/PIB)x100</w:t>
            </w:r>
          </w:p>
        </w:tc>
        <w:tc>
          <w:tcPr>
            <w:tcW w:w="749" w:type="dxa"/>
            <w:shd w:val="clear" w:color="auto" w:fill="F0F0F0"/>
          </w:tcPr>
          <w:p>
            <w:pPr>
              <w:pStyle w:val="TableParagraph"/>
              <w:spacing w:before="17"/>
              <w:ind w:left="2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RCL</w:t>
            </w:r>
          </w:p>
          <w:p>
            <w:pPr>
              <w:pStyle w:val="TableParagraph"/>
              <w:spacing w:before="4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(a/RCL)x100</w:t>
            </w:r>
          </w:p>
        </w:tc>
        <w:tc>
          <w:tcPr>
            <w:tcW w:w="1457" w:type="dxa"/>
            <w:shd w:val="clear" w:color="auto" w:fill="F0F0F0"/>
          </w:tcPr>
          <w:p>
            <w:pPr>
              <w:pStyle w:val="TableParagraph"/>
              <w:spacing w:before="17"/>
              <w:ind w:left="235" w:right="20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</w:p>
          <w:p>
            <w:pPr>
              <w:pStyle w:val="TableParagraph"/>
              <w:spacing w:before="42"/>
              <w:ind w:left="231" w:right="204"/>
              <w:jc w:val="center"/>
              <w:rPr>
                <w:sz w:val="12"/>
              </w:rPr>
            </w:pPr>
            <w:r>
              <w:rPr>
                <w:sz w:val="12"/>
              </w:rPr>
              <w:t>(b)</w:t>
            </w:r>
          </w:p>
        </w:tc>
        <w:tc>
          <w:tcPr>
            <w:tcW w:w="1455" w:type="dxa"/>
            <w:shd w:val="clear" w:color="auto" w:fill="F0F0F0"/>
          </w:tcPr>
          <w:p>
            <w:pPr>
              <w:pStyle w:val="TableParagraph"/>
              <w:spacing w:before="17"/>
              <w:ind w:left="20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Valor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Constante</w:t>
            </w:r>
          </w:p>
        </w:tc>
        <w:tc>
          <w:tcPr>
            <w:tcW w:w="749" w:type="dxa"/>
            <w:shd w:val="clear" w:color="auto" w:fill="F0F0F0"/>
          </w:tcPr>
          <w:p>
            <w:pPr>
              <w:pStyle w:val="TableParagraph"/>
              <w:spacing w:before="17"/>
              <w:ind w:left="2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PIB</w:t>
            </w:r>
          </w:p>
          <w:p>
            <w:pPr>
              <w:pStyle w:val="TableParagraph"/>
              <w:spacing w:before="42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(b/PIB)x100</w:t>
            </w:r>
          </w:p>
        </w:tc>
        <w:tc>
          <w:tcPr>
            <w:tcW w:w="751" w:type="dxa"/>
            <w:shd w:val="clear" w:color="auto" w:fill="F0F0F0"/>
          </w:tcPr>
          <w:p>
            <w:pPr>
              <w:pStyle w:val="TableParagraph"/>
              <w:spacing w:before="17"/>
              <w:ind w:left="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RCL</w:t>
            </w:r>
          </w:p>
          <w:p>
            <w:pPr>
              <w:pStyle w:val="TableParagraph"/>
              <w:spacing w:before="42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(b/RCL)x100</w:t>
            </w:r>
          </w:p>
        </w:tc>
        <w:tc>
          <w:tcPr>
            <w:tcW w:w="1454" w:type="dxa"/>
            <w:shd w:val="clear" w:color="auto" w:fill="F0F0F0"/>
          </w:tcPr>
          <w:p>
            <w:pPr>
              <w:pStyle w:val="TableParagraph"/>
              <w:spacing w:before="17"/>
              <w:ind w:left="232" w:right="20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</w:p>
          <w:p>
            <w:pPr>
              <w:pStyle w:val="TableParagraph"/>
              <w:spacing w:before="42"/>
              <w:ind w:left="230" w:right="204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454" w:type="dxa"/>
            <w:shd w:val="clear" w:color="auto" w:fill="F0F0F0"/>
          </w:tcPr>
          <w:p>
            <w:pPr>
              <w:pStyle w:val="TableParagraph"/>
              <w:spacing w:before="17"/>
              <w:ind w:left="2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Valor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Constante</w:t>
            </w:r>
          </w:p>
        </w:tc>
        <w:tc>
          <w:tcPr>
            <w:tcW w:w="751" w:type="dxa"/>
            <w:shd w:val="clear" w:color="auto" w:fill="F0F0F0"/>
          </w:tcPr>
          <w:p>
            <w:pPr>
              <w:pStyle w:val="TableParagraph"/>
              <w:spacing w:before="17"/>
              <w:ind w:left="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PIB</w:t>
            </w:r>
          </w:p>
          <w:p>
            <w:pPr>
              <w:pStyle w:val="TableParagraph"/>
              <w:spacing w:before="4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(c/PIB)x100</w:t>
            </w:r>
          </w:p>
        </w:tc>
        <w:tc>
          <w:tcPr>
            <w:tcW w:w="763" w:type="dxa"/>
            <w:shd w:val="clear" w:color="auto" w:fill="F0F0F0"/>
          </w:tcPr>
          <w:p>
            <w:pPr>
              <w:pStyle w:val="TableParagraph"/>
              <w:spacing w:before="17"/>
              <w:ind w:left="23" w:righ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RCL</w:t>
            </w:r>
          </w:p>
          <w:p>
            <w:pPr>
              <w:pStyle w:val="TableParagraph"/>
              <w:spacing w:before="42"/>
              <w:ind w:left="24" w:right="10"/>
              <w:jc w:val="center"/>
              <w:rPr>
                <w:sz w:val="12"/>
              </w:rPr>
            </w:pPr>
            <w:r>
              <w:rPr>
                <w:sz w:val="12"/>
              </w:rPr>
              <w:t>(c/RCL)x100</w:t>
            </w:r>
          </w:p>
        </w:tc>
      </w:tr>
      <w:tr>
        <w:trPr>
          <w:trHeight w:val="339" w:hRule="atLeast"/>
        </w:trPr>
        <w:tc>
          <w:tcPr>
            <w:tcW w:w="211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6"/>
              <w:ind w:left="3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Receita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Total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387.429.145,52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373.245.804,93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0,071%</w:t>
            </w:r>
          </w:p>
        </w:tc>
        <w:tc>
          <w:tcPr>
            <w:tcW w:w="749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108,836%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399.782.858,00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373.210.285,66</w:t>
            </w:r>
          </w:p>
        </w:tc>
        <w:tc>
          <w:tcPr>
            <w:tcW w:w="749" w:type="dxa"/>
            <w:tcBorders>
              <w:bottom w:val="nil"/>
            </w:tcBorders>
          </w:tcPr>
          <w:p>
            <w:pPr>
              <w:pStyle w:val="TableParagraph"/>
              <w:spacing w:before="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0,072%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108,824%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412.575.855,00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373.202.944,37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96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71,959%</w:t>
            </w:r>
          </w:p>
        </w:tc>
        <w:tc>
          <w:tcPr>
            <w:tcW w:w="76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6"/>
              <w:ind w:right="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108,824%</w:t>
            </w:r>
          </w:p>
        </w:tc>
      </w:tr>
      <w:tr>
        <w:trPr>
          <w:trHeight w:val="319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Primárias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(I)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sz w:val="14"/>
              </w:rPr>
              <w:t>375.146.046,00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4"/>
              <w:rPr>
                <w:sz w:val="14"/>
              </w:rPr>
            </w:pPr>
            <w:r>
              <w:rPr>
                <w:sz w:val="14"/>
              </w:rPr>
              <w:t>361.412.375,72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sz w:val="14"/>
              </w:rPr>
              <w:t>0,069%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sz w:val="14"/>
              </w:rPr>
              <w:t>105,385%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sz w:val="14"/>
              </w:rPr>
              <w:t>387.106.698,00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sz w:val="14"/>
              </w:rPr>
              <w:t>361.376.678,49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sz w:val="14"/>
              </w:rPr>
            </w:pPr>
            <w:r>
              <w:rPr>
                <w:sz w:val="14"/>
              </w:rPr>
              <w:t>0,070%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sz w:val="14"/>
              </w:rPr>
            </w:pPr>
            <w:r>
              <w:rPr>
                <w:sz w:val="14"/>
              </w:rPr>
              <w:t>105,373%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sz w:val="14"/>
              </w:rPr>
              <w:t>399.494.057,00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4"/>
              <w:rPr>
                <w:sz w:val="14"/>
              </w:rPr>
            </w:pPr>
            <w:r>
              <w:rPr>
                <w:sz w:val="14"/>
              </w:rPr>
              <w:t>361.369.567,62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sz w:val="14"/>
              </w:rPr>
              <w:t>69,677%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6"/>
              <w:ind w:right="21"/>
              <w:rPr>
                <w:sz w:val="14"/>
              </w:rPr>
            </w:pPr>
            <w:r>
              <w:rPr>
                <w:sz w:val="14"/>
              </w:rPr>
              <w:t>105,373%</w:t>
            </w:r>
          </w:p>
        </w:tc>
      </w:tr>
      <w:tr>
        <w:trPr>
          <w:trHeight w:val="310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Despesa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Total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387.233.389,52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373.057.215,34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0,071%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108,781%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399.866.450,00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373.288.321,51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0,072%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108,846%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412.785.882,00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373.392.928,09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71,995%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108,879%</w:t>
            </w:r>
          </w:p>
        </w:tc>
      </w:tr>
      <w:tr>
        <w:trPr>
          <w:trHeight w:val="317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2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Primárias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(II)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7"/>
              <w:rPr>
                <w:sz w:val="14"/>
              </w:rPr>
            </w:pPr>
            <w:r>
              <w:rPr>
                <w:sz w:val="14"/>
              </w:rPr>
              <w:t>365.593.430,52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4"/>
              <w:rPr>
                <w:sz w:val="14"/>
              </w:rPr>
            </w:pPr>
            <w:r>
              <w:rPr>
                <w:sz w:val="14"/>
              </w:rPr>
              <w:t>352.209.470,64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"/>
              <w:rPr>
                <w:sz w:val="14"/>
              </w:rPr>
            </w:pPr>
            <w:r>
              <w:rPr>
                <w:sz w:val="14"/>
              </w:rPr>
              <w:t>0,067%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"/>
              <w:rPr>
                <w:sz w:val="14"/>
              </w:rPr>
            </w:pPr>
            <w:r>
              <w:rPr>
                <w:sz w:val="14"/>
              </w:rPr>
              <w:t>102,702%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7"/>
              <w:rPr>
                <w:sz w:val="14"/>
              </w:rPr>
            </w:pPr>
            <w:r>
              <w:rPr>
                <w:sz w:val="14"/>
              </w:rPr>
              <w:t>374.818.654,00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7"/>
              <w:rPr>
                <w:sz w:val="14"/>
              </w:rPr>
            </w:pPr>
            <w:r>
              <w:rPr>
                <w:sz w:val="14"/>
              </w:rPr>
              <w:t>349.905.390,22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sz w:val="14"/>
              </w:rPr>
              <w:t>0,067%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sz w:val="14"/>
              </w:rPr>
              <w:t>102,028%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7"/>
              <w:rPr>
                <w:sz w:val="14"/>
              </w:rPr>
            </w:pPr>
            <w:r>
              <w:rPr>
                <w:sz w:val="14"/>
              </w:rPr>
              <w:t>386.970.501,00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24"/>
              <w:rPr>
                <w:sz w:val="14"/>
              </w:rPr>
            </w:pPr>
            <w:r>
              <w:rPr>
                <w:sz w:val="14"/>
              </w:rPr>
              <w:t>350.041.158,75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right="1"/>
              <w:rPr>
                <w:sz w:val="14"/>
              </w:rPr>
            </w:pPr>
            <w:r>
              <w:rPr>
                <w:sz w:val="14"/>
              </w:rPr>
              <w:t>67,493%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5"/>
              <w:ind w:right="21"/>
              <w:rPr>
                <w:sz w:val="14"/>
              </w:rPr>
            </w:pPr>
            <w:r>
              <w:rPr>
                <w:sz w:val="14"/>
              </w:rPr>
              <w:t>102,070%</w:t>
            </w:r>
          </w:p>
        </w:tc>
      </w:tr>
      <w:tr>
        <w:trPr>
          <w:trHeight w:val="311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Resultado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(III)=(I-II)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9.552.615,48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9.202.905,09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0,002%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2,683%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12.288.044,00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11.471.288,27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0,002%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3,345%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12.523.556,00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11.328.408,86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2,184%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3,303%</w:t>
            </w:r>
          </w:p>
        </w:tc>
      </w:tr>
      <w:tr>
        <w:trPr>
          <w:trHeight w:val="320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36"/>
              <w:jc w:val="left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Nominal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sz w:val="14"/>
              </w:rPr>
              <w:t>9.552.615,48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4"/>
              <w:rPr>
                <w:sz w:val="14"/>
              </w:rPr>
            </w:pPr>
            <w:r>
              <w:rPr>
                <w:sz w:val="14"/>
              </w:rPr>
              <w:t>9.202.905,09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sz w:val="14"/>
              </w:rPr>
              <w:t>0,002%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sz w:val="14"/>
              </w:rPr>
              <w:t>2,683%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sz w:val="14"/>
              </w:rPr>
              <w:t>12.288.044,00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sz w:val="14"/>
              </w:rPr>
              <w:t>11.471.288,27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sz w:val="14"/>
              </w:rPr>
            </w:pPr>
            <w:r>
              <w:rPr>
                <w:sz w:val="14"/>
              </w:rPr>
              <w:t>0,002%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rPr>
                <w:sz w:val="14"/>
              </w:rPr>
            </w:pPr>
            <w:r>
              <w:rPr>
                <w:sz w:val="14"/>
              </w:rPr>
              <w:t>3,345%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4"/>
              </w:rPr>
            </w:pPr>
            <w:r>
              <w:rPr>
                <w:sz w:val="14"/>
              </w:rPr>
              <w:t>12.523.556,00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24"/>
              <w:rPr>
                <w:sz w:val="14"/>
              </w:rPr>
            </w:pPr>
            <w:r>
              <w:rPr>
                <w:sz w:val="14"/>
              </w:rPr>
              <w:t>11.328.408,86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1"/>
              <w:rPr>
                <w:sz w:val="14"/>
              </w:rPr>
            </w:pPr>
            <w:r>
              <w:rPr>
                <w:sz w:val="14"/>
              </w:rPr>
              <w:t>2,184%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6"/>
              <w:ind w:right="21"/>
              <w:rPr>
                <w:sz w:val="14"/>
              </w:rPr>
            </w:pPr>
            <w:r>
              <w:rPr>
                <w:sz w:val="14"/>
              </w:rPr>
              <w:t>3,303%</w:t>
            </w:r>
          </w:p>
        </w:tc>
      </w:tr>
      <w:tr>
        <w:trPr>
          <w:trHeight w:val="314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7"/>
              <w:ind w:left="3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Dív.Pública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Consolidada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sz w:val="14"/>
              </w:rPr>
              <w:t>40.190.495,33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4"/>
              <w:rPr>
                <w:sz w:val="14"/>
              </w:rPr>
            </w:pPr>
            <w:r>
              <w:rPr>
                <w:sz w:val="14"/>
              </w:rPr>
              <w:t>38.719.166,98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sz w:val="14"/>
              </w:rPr>
              <w:t>0,007%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sz w:val="14"/>
              </w:rPr>
              <w:t>11,290%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sz w:val="14"/>
              </w:rPr>
              <w:t>37.175.379,15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sz w:val="14"/>
              </w:rPr>
              <w:t>34.704.424,15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0,007%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10,119%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sz w:val="14"/>
              </w:rPr>
              <w:t>35.466.093,81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24"/>
              <w:rPr>
                <w:sz w:val="14"/>
              </w:rPr>
            </w:pPr>
            <w:r>
              <w:rPr>
                <w:sz w:val="14"/>
              </w:rPr>
              <w:t>32.081.495,98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sz w:val="14"/>
              </w:rPr>
              <w:t>6,186%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0"/>
              <w:ind w:right="21"/>
              <w:rPr>
                <w:sz w:val="14"/>
              </w:rPr>
            </w:pPr>
            <w:r>
              <w:rPr>
                <w:sz w:val="14"/>
              </w:rPr>
              <w:t>9,355%</w:t>
            </w:r>
          </w:p>
        </w:tc>
      </w:tr>
      <w:tr>
        <w:trPr>
          <w:trHeight w:val="304" w:hRule="atLeast"/>
        </w:trPr>
        <w:tc>
          <w:tcPr>
            <w:tcW w:w="211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7"/>
              <w:ind w:left="3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Dív.Consolidada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Líquida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sz w:val="14"/>
              </w:rPr>
              <w:t>-21.780.744,21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4"/>
              <w:rPr>
                <w:sz w:val="14"/>
              </w:rPr>
            </w:pPr>
            <w:r>
              <w:rPr>
                <w:sz w:val="14"/>
              </w:rPr>
              <w:t>-20.983.375,92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sz w:val="14"/>
              </w:rPr>
              <w:t>-0,004%</w:t>
            </w:r>
          </w:p>
        </w:tc>
        <w:tc>
          <w:tcPr>
            <w:tcW w:w="749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sz w:val="14"/>
              </w:rPr>
              <w:t>-6,119%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sz w:val="14"/>
              </w:rPr>
              <w:t>-26.778.940,05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sz w:val="14"/>
              </w:rPr>
              <w:t>-24.999.010,50</w:t>
            </w:r>
          </w:p>
        </w:tc>
        <w:tc>
          <w:tcPr>
            <w:tcW w:w="749" w:type="dxa"/>
            <w:tcBorders>
              <w:top w:val="nil"/>
            </w:tcBorders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-0,005%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-7,289%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7"/>
              <w:rPr>
                <w:sz w:val="14"/>
              </w:rPr>
            </w:pPr>
            <w:r>
              <w:rPr>
                <w:sz w:val="14"/>
              </w:rPr>
              <w:t>-30.534.763,59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24"/>
              <w:rPr>
                <w:sz w:val="14"/>
              </w:rPr>
            </w:pPr>
            <w:r>
              <w:rPr>
                <w:sz w:val="14"/>
              </w:rPr>
              <w:t>-27.620.772,13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70"/>
              <w:ind w:right="1"/>
              <w:rPr>
                <w:sz w:val="14"/>
              </w:rPr>
            </w:pPr>
            <w:r>
              <w:rPr>
                <w:sz w:val="14"/>
              </w:rPr>
              <w:t>-5,326%</w:t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0"/>
              <w:ind w:right="21"/>
              <w:rPr>
                <w:sz w:val="14"/>
              </w:rPr>
            </w:pPr>
            <w:r>
              <w:rPr>
                <w:sz w:val="14"/>
              </w:rPr>
              <w:t>-8,054%</w:t>
            </w:r>
          </w:p>
        </w:tc>
      </w:tr>
      <w:tr>
        <w:trPr>
          <w:trHeight w:val="390" w:hRule="atLeast"/>
        </w:trPr>
        <w:tc>
          <w:tcPr>
            <w:tcW w:w="211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5" w:lineRule="auto" w:before="36"/>
              <w:ind w:left="35" w:right="107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Primárias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advindas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PPPs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(IV)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749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49" w:type="dxa"/>
            <w:tcBorders>
              <w:bottom w:val="nil"/>
            </w:tcBorders>
          </w:tcPr>
          <w:p>
            <w:pPr>
              <w:pStyle w:val="TableParagraph"/>
              <w:spacing w:before="132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132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51" w:type="dxa"/>
            <w:tcBorders>
              <w:bottom w:val="nil"/>
            </w:tcBorders>
          </w:tcPr>
          <w:p>
            <w:pPr>
              <w:pStyle w:val="TableParagraph"/>
              <w:spacing w:before="132"/>
              <w:ind w:right="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76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32"/>
              <w:ind w:right="2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</w:tr>
      <w:tr>
        <w:trPr>
          <w:trHeight w:val="389" w:hRule="atLeast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5" w:lineRule="auto" w:before="34"/>
              <w:ind w:left="36" w:right="39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Primárias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geradas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PPPs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(V)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3"/>
              <w:ind w:right="2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</w:tr>
      <w:tr>
        <w:trPr>
          <w:trHeight w:val="404" w:hRule="atLeast"/>
        </w:trPr>
        <w:tc>
          <w:tcPr>
            <w:tcW w:w="2114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5" w:lineRule="auto" w:before="36"/>
              <w:ind w:left="36" w:right="364"/>
              <w:jc w:val="left"/>
              <w:rPr>
                <w:sz w:val="14"/>
              </w:rPr>
            </w:pPr>
            <w:r>
              <w:rPr>
                <w:sz w:val="14"/>
              </w:rPr>
              <w:t>Impacto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PPPs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(VI)=(IV-V)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749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49" w:type="dxa"/>
            <w:tcBorders>
              <w:top w:val="nil"/>
            </w:tcBorders>
          </w:tcPr>
          <w:p>
            <w:pPr>
              <w:pStyle w:val="TableParagraph"/>
              <w:spacing w:before="13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13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51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31"/>
              <w:ind w:right="21"/>
              <w:rPr>
                <w:sz w:val="14"/>
              </w:rPr>
            </w:pPr>
            <w:r>
              <w:rPr>
                <w:sz w:val="14"/>
              </w:rPr>
              <w:t>0,000%</w:t>
            </w:r>
          </w:p>
        </w:tc>
      </w:tr>
    </w:tbl>
    <w:p>
      <w:pPr>
        <w:pStyle w:val="BodyText"/>
        <w:rPr>
          <w:sz w:val="1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3"/>
        <w:gridCol w:w="1457"/>
        <w:gridCol w:w="1455"/>
        <w:gridCol w:w="1498"/>
      </w:tblGrid>
      <w:tr>
        <w:trPr>
          <w:trHeight w:val="236" w:hRule="atLeast"/>
        </w:trPr>
        <w:tc>
          <w:tcPr>
            <w:tcW w:w="6523" w:type="dxa"/>
            <w:shd w:val="clear" w:color="auto" w:fill="F0F0F0"/>
          </w:tcPr>
          <w:p>
            <w:pPr>
              <w:pStyle w:val="TableParagraph"/>
              <w:spacing w:before="34"/>
              <w:ind w:left="2941" w:right="291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Variáveis</w:t>
            </w:r>
          </w:p>
        </w:tc>
        <w:tc>
          <w:tcPr>
            <w:tcW w:w="1457" w:type="dxa"/>
            <w:shd w:val="clear" w:color="auto" w:fill="F0F0F0"/>
          </w:tcPr>
          <w:p>
            <w:pPr>
              <w:pStyle w:val="TableParagraph"/>
              <w:spacing w:before="34"/>
              <w:ind w:left="231" w:right="20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455" w:type="dxa"/>
            <w:shd w:val="clear" w:color="auto" w:fill="F0F0F0"/>
          </w:tcPr>
          <w:p>
            <w:pPr>
              <w:pStyle w:val="TableParagraph"/>
              <w:spacing w:before="34"/>
              <w:ind w:left="556" w:right="53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2024</w:t>
            </w:r>
          </w:p>
        </w:tc>
        <w:tc>
          <w:tcPr>
            <w:tcW w:w="1498" w:type="dxa"/>
            <w:shd w:val="clear" w:color="auto" w:fill="F0F0F0"/>
          </w:tcPr>
          <w:p>
            <w:pPr>
              <w:pStyle w:val="TableParagraph"/>
              <w:spacing w:before="34"/>
              <w:ind w:left="572" w:right="5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2025</w:t>
            </w:r>
          </w:p>
        </w:tc>
      </w:tr>
      <w:tr>
        <w:trPr>
          <w:trHeight w:val="245" w:hRule="atLeast"/>
        </w:trPr>
        <w:tc>
          <w:tcPr>
            <w:tcW w:w="652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6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Inflação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(%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anual)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projetada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índice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oficial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inflação</w:t>
            </w: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8"/>
              <w:rPr>
                <w:sz w:val="14"/>
              </w:rPr>
            </w:pPr>
            <w:r>
              <w:rPr>
                <w:sz w:val="14"/>
              </w:rPr>
              <w:t>3,80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8"/>
              <w:rPr>
                <w:sz w:val="14"/>
              </w:rPr>
            </w:pPr>
            <w:r>
              <w:rPr>
                <w:sz w:val="14"/>
              </w:rPr>
              <w:t>3,20</w:t>
            </w:r>
          </w:p>
        </w:tc>
        <w:tc>
          <w:tcPr>
            <w:tcW w:w="149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79"/>
              <w:rPr>
                <w:sz w:val="14"/>
              </w:rPr>
            </w:pPr>
            <w:r>
              <w:rPr>
                <w:sz w:val="14"/>
              </w:rPr>
              <w:t>3,20</w:t>
            </w:r>
          </w:p>
        </w:tc>
      </w:tr>
      <w:tr>
        <w:trPr>
          <w:trHeight w:val="239" w:hRule="atLeast"/>
        </w:trPr>
        <w:tc>
          <w:tcPr>
            <w:tcW w:w="65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0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Projeção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PIB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</w:p>
        </w:tc>
        <w:tc>
          <w:tcPr>
            <w:tcW w:w="1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8"/>
              <w:rPr>
                <w:sz w:val="14"/>
              </w:rPr>
            </w:pPr>
            <w:r>
              <w:rPr>
                <w:sz w:val="14"/>
              </w:rPr>
              <w:t>542.022.963.000,00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8"/>
              <w:rPr>
                <w:sz w:val="14"/>
              </w:rPr>
            </w:pPr>
            <w:r>
              <w:rPr>
                <w:sz w:val="14"/>
              </w:rPr>
              <w:t>555.573.537.000,00</w:t>
            </w: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79"/>
              <w:rPr>
                <w:sz w:val="14"/>
              </w:rPr>
            </w:pPr>
            <w:r>
              <w:rPr>
                <w:sz w:val="14"/>
              </w:rPr>
              <w:t>573.351.890,00</w:t>
            </w:r>
          </w:p>
        </w:tc>
      </w:tr>
      <w:tr>
        <w:trPr>
          <w:trHeight w:val="284" w:hRule="atLeast"/>
        </w:trPr>
        <w:tc>
          <w:tcPr>
            <w:tcW w:w="652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0"/>
              <w:ind w:left="35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Líquida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RCL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33"/>
              <w:ind w:right="28"/>
              <w:rPr>
                <w:sz w:val="14"/>
              </w:rPr>
            </w:pPr>
            <w:r>
              <w:rPr>
                <w:sz w:val="14"/>
              </w:rPr>
              <w:t>355.976.116,64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spacing w:before="33"/>
              <w:ind w:right="28"/>
              <w:rPr>
                <w:sz w:val="14"/>
              </w:rPr>
            </w:pPr>
            <w:r>
              <w:rPr>
                <w:sz w:val="14"/>
              </w:rPr>
              <w:t>367.367.352,37</w:t>
            </w:r>
          </w:p>
        </w:tc>
        <w:tc>
          <w:tcPr>
            <w:tcW w:w="149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3"/>
              <w:ind w:right="79"/>
              <w:rPr>
                <w:sz w:val="14"/>
              </w:rPr>
            </w:pPr>
            <w:r>
              <w:rPr>
                <w:sz w:val="14"/>
              </w:rPr>
              <w:t>379.123.107,64</w:t>
            </w:r>
          </w:p>
        </w:tc>
      </w:tr>
    </w:tbl>
    <w:sectPr>
      <w:type w:val="continuous"/>
      <w:pgSz w:w="16840" w:h="11900" w:orient="landscape"/>
      <w:pgMar w:top="380" w:bottom="280" w:left="2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017" w:right="7048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9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2022-08-09T18:22:34Z</dcterms:created>
  <dcterms:modified xsi:type="dcterms:W3CDTF">2022-08-09T18:22:34Z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2022-08-03T00:00:00Z</vt:filetime>
  </property>
</Properties>
</file>