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532" w:right="538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Municipal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Esteio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-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Consolidação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Total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DIRETRIZES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3050" w:right="2904"/>
        <w:jc w:val="center"/>
      </w:pPr>
      <w:r>
        <w:rPr>
          <w:spacing w:val="-2"/>
        </w:rPr>
        <w:t>METAS</w:t>
      </w:r>
      <w:r>
        <w:rPr>
          <w:spacing w:val="-1"/>
        </w:rPr>
        <w:t> </w:t>
      </w:r>
      <w:r>
        <w:rPr>
          <w:spacing w:val="-2"/>
        </w:rPr>
        <w:t>FISCAIS</w:t>
      </w:r>
      <w:r>
        <w:rPr>
          <w:spacing w:val="-12"/>
        </w:rPr>
        <w:t> </w:t>
      </w:r>
      <w:r>
        <w:rPr>
          <w:spacing w:val="-2"/>
        </w:rPr>
        <w:t>ATUAIS</w:t>
      </w:r>
      <w:r>
        <w:rPr/>
        <w:t> </w:t>
      </w:r>
      <w:r>
        <w:rPr>
          <w:spacing w:val="-2"/>
        </w:rPr>
        <w:t>COMPARADAS</w:t>
      </w:r>
      <w:r>
        <w:rPr/>
        <w:t> </w:t>
      </w:r>
      <w:r>
        <w:rPr>
          <w:spacing w:val="-1"/>
        </w:rPr>
        <w:t>COM</w:t>
      </w:r>
      <w:r>
        <w:rPr>
          <w:spacing w:val="-8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FIXADAS</w:t>
      </w:r>
      <w:r>
        <w:rPr/>
        <w:t> </w:t>
      </w:r>
      <w:r>
        <w:rPr>
          <w:spacing w:val="-1"/>
        </w:rPr>
        <w:t>NOS</w:t>
      </w:r>
      <w:r>
        <w:rPr>
          <w:spacing w:val="-3"/>
        </w:rPr>
        <w:t> </w:t>
      </w:r>
      <w:r>
        <w:rPr>
          <w:spacing w:val="-1"/>
        </w:rPr>
        <w:t>TRÊS EXERCÍCIOS</w:t>
      </w:r>
      <w:r>
        <w:rPr>
          <w:spacing w:val="-12"/>
        </w:rPr>
        <w:t> </w:t>
      </w:r>
      <w:r>
        <w:rPr>
          <w:spacing w:val="-1"/>
        </w:rPr>
        <w:t>ANTERIORES</w:t>
      </w:r>
    </w:p>
    <w:p>
      <w:pPr>
        <w:spacing w:before="91"/>
        <w:ind w:left="3031" w:right="2904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2023</w:t>
      </w:r>
    </w:p>
    <w:p>
      <w:pPr>
        <w:pStyle w:val="BodyText"/>
        <w:rPr>
          <w:i/>
          <w:sz w:val="13"/>
        </w:rPr>
      </w:pPr>
    </w:p>
    <w:p>
      <w:pPr>
        <w:tabs>
          <w:tab w:pos="14599" w:val="left" w:leader="none"/>
        </w:tabs>
        <w:spacing w:before="93"/>
        <w:ind w:left="139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1"/>
          <w:sz w:val="14"/>
        </w:rPr>
        <w:t>AMF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-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Demonstrativo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III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z w:val="14"/>
        </w:rPr>
        <w:t>(LRF,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art.4º,§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2º,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II)</w:t>
        <w:tab/>
        <w:t>R$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p>
      <w:pPr>
        <w:pStyle w:val="BodyText"/>
        <w:spacing w:before="10" w:after="1"/>
        <w:rPr>
          <w:b w:val="0"/>
          <w:sz w:val="9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440"/>
        <w:gridCol w:w="1440"/>
        <w:gridCol w:w="840"/>
        <w:gridCol w:w="1440"/>
        <w:gridCol w:w="840"/>
        <w:gridCol w:w="1440"/>
        <w:gridCol w:w="840"/>
        <w:gridCol w:w="1440"/>
        <w:gridCol w:w="840"/>
        <w:gridCol w:w="1440"/>
        <w:gridCol w:w="857"/>
      </w:tblGrid>
      <w:tr>
        <w:trPr>
          <w:trHeight w:val="256" w:hRule="atLeast"/>
        </w:trPr>
        <w:tc>
          <w:tcPr>
            <w:tcW w:w="2138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424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12857" w:type="dxa"/>
            <w:gridSpan w:val="11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32"/>
              <w:ind w:left="5029" w:right="503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VALORES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PREÇOS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CORRENTES</w:t>
            </w:r>
          </w:p>
        </w:tc>
      </w:tr>
      <w:tr>
        <w:trPr>
          <w:trHeight w:val="328" w:hRule="atLeast"/>
        </w:trPr>
        <w:tc>
          <w:tcPr>
            <w:tcW w:w="2138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75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304.151.294,23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297.298.816,58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-2,25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339.073.697,78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14,05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387.429.145,52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14,26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399.782.858,00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3,19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412.575.855,00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3,20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290.813.394,23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295.459.666,58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320.796.447,78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8,58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375.146.046,00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16,94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387.106.698,00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3,19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399.494.057,00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3,20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299.389.294,23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297.298.816,58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-0,70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403.401.032,67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35,69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387.233.389,52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-4,01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399.866.450,00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3,26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412.785.882,00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3,23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315.483.614,29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294.942.922,09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-6,51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301.729.536,78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2,30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365.593.430,52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21,17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374.818.654,00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2,52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386.970.501,00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3,24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(I-II)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-24.670.220,06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516.744,49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-102,09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19.066.911,00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3.589,81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9.552.615,48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-49,90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12.288.044,00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12.523.556,00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1,92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13.503.694,73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-326.804,95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-102,42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19.066.911,00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-5.934,34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9.552.615,48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-49,90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12.288.044,00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12.523.556,00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Consolidada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22.025.428,34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55.843.242,87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153,54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59.181.818,44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5,98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40.190.495,33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-32,09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37.175.379,15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-7,50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35.466.093,81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-4,60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Dív.Consolidada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Líquida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-20.525.455,79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22.136.102,33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-207,85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8.660.496,14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-60,88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-21.780.744,21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-351,50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-26.778.940,05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22,95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-30.534.763,59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14,03</w:t>
            </w:r>
          </w:p>
        </w:tc>
      </w:tr>
    </w:tbl>
    <w:p>
      <w:pPr>
        <w:pStyle w:val="BodyText"/>
        <w:spacing w:before="0"/>
        <w:rPr>
          <w:b w:val="0"/>
        </w:rPr>
      </w:pPr>
    </w:p>
    <w:p>
      <w:pPr>
        <w:pStyle w:val="BodyText"/>
        <w:rPr>
          <w:b w:val="0"/>
          <w:sz w:val="16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440"/>
        <w:gridCol w:w="1440"/>
        <w:gridCol w:w="840"/>
        <w:gridCol w:w="1440"/>
        <w:gridCol w:w="840"/>
        <w:gridCol w:w="1440"/>
        <w:gridCol w:w="840"/>
        <w:gridCol w:w="1440"/>
        <w:gridCol w:w="840"/>
        <w:gridCol w:w="1440"/>
        <w:gridCol w:w="857"/>
      </w:tblGrid>
      <w:tr>
        <w:trPr>
          <w:trHeight w:val="253" w:hRule="atLeast"/>
        </w:trPr>
        <w:tc>
          <w:tcPr>
            <w:tcW w:w="2138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424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12857" w:type="dxa"/>
            <w:gridSpan w:val="11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29"/>
              <w:ind w:left="5029" w:right="50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VALORES 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PREÇOS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CONSTANTES</w:t>
            </w:r>
          </w:p>
        </w:tc>
      </w:tr>
      <w:tr>
        <w:trPr>
          <w:trHeight w:val="330" w:hRule="atLeast"/>
        </w:trPr>
        <w:tc>
          <w:tcPr>
            <w:tcW w:w="2138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75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3.894.663.405,64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1.230.817.100,64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-68,40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6"/>
              <w:rPr>
                <w:sz w:val="16"/>
              </w:rPr>
            </w:pPr>
            <w:r>
              <w:rPr>
                <w:sz w:val="16"/>
              </w:rPr>
              <w:t>339.073.697,78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-72,45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93.311.451,23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-72,48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93.300.393,94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-0,01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93.300.736,09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(I)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3.723.871.329,38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1.223.203.019,64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-67,15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320.796.447,78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-73,77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90.353.093,93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-71,83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90.342.061,19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-0,01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90.342.391,90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3.833.685.900,40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1.230.817.100,64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-67,89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403.401.032,67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-67,22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93.264.303,83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-76,88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93.319.902,45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93.348.232,02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4.039.773.990,66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1.221.063.697,45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-69,77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301.729.536,78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-75,29</w:t>
            </w:r>
          </w:p>
        </w:tc>
        <w:tc>
          <w:tcPr>
            <w:tcW w:w="1440" w:type="dxa"/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88.052.367,66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-70,82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87.474.306,05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-0,66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87.510.289,69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(I-II)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-315.902.661,27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2.139.322,19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-100,68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19.066.911,00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791,26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2.300.726,27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-87,93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2.867.755,14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24,65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2.832.102,22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63"/>
              <w:ind w:righ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-1,24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172.915.081,09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-1.352.972,49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-100,78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19.066.911,00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-1.509,26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2.300.726,27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-87,93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2.867.755,14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24,65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2.832.102,22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45"/>
              <w:rPr>
                <w:sz w:val="16"/>
              </w:rPr>
            </w:pPr>
            <w:r>
              <w:rPr>
                <w:sz w:val="16"/>
              </w:rPr>
              <w:t>-1,24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Consolidada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282.036.050,40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231.191.025,48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-18,03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59.181.818,44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-74,40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9.679.791,75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-83,64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8.675.903,56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-10,37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8.020.374,00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-7,56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Dív.Consolidada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Líquida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-262.828.871,90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91.643.463,65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-134,87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8.660.496,14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-90,55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-5.245.843,98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-160,57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-6.249.606,77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19,13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-6.905.193,03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10,49</w:t>
            </w:r>
          </w:p>
        </w:tc>
      </w:tr>
    </w:tbl>
    <w:sectPr>
      <w:type w:val="continuous"/>
      <w:pgSz w:w="16840" w:h="11900" w:orient="landscape"/>
      <w:pgMar w:top="380" w:bottom="280" w:left="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right="2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2022-08-09T18:23:30Z</dcterms:created>
  <dcterms:modified xsi:type="dcterms:W3CDTF">2022-08-09T18:23:30Z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