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500" w:right="0" w:firstLine="0"/>
        <w:jc w:val="left"/>
        <w:rPr>
          <w:rFonts w:ascii="Times New Roman" w:hAnsi="Times New Roman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815154</wp:posOffset>
            </wp:positionH>
            <wp:positionV relativeFrom="paragraph">
              <wp:posOffset>99437</wp:posOffset>
            </wp:positionV>
            <wp:extent cx="666099" cy="56001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99" cy="56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18"/>
        </w:rPr>
        <w:t>Prefeitura Municipal de Esteio - Consolidação Total</w:t>
      </w:r>
    </w:p>
    <w:p>
      <w:pPr>
        <w:spacing w:before="153"/>
        <w:ind w:left="1500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Adendo II a Portaria SOF n.º 08, de 04 de Fevereiro de 1985</w:t>
      </w:r>
    </w:p>
    <w:p>
      <w:pPr>
        <w:pStyle w:val="Title"/>
      </w:pPr>
      <w:r>
        <w:rPr/>
        <w:t>ANEXO 1, DA LEI 4.320/64</w:t>
      </w:r>
    </w:p>
    <w:p>
      <w:pPr>
        <w:spacing w:before="92"/>
        <w:ind w:left="283" w:right="0" w:firstLine="0"/>
        <w:jc w:val="left"/>
        <w:rPr>
          <w:rFonts w:ascii="Times New Roman" w:hAnsi="Times New Roman"/>
          <w:i/>
          <w:sz w:val="14"/>
        </w:rPr>
      </w:pPr>
      <w:r>
        <w:rPr/>
        <w:br w:type="column"/>
      </w:r>
      <w:r>
        <w:rPr>
          <w:rFonts w:ascii="Times New Roman" w:hAnsi="Times New Roman"/>
          <w:i/>
          <w:sz w:val="14"/>
        </w:rPr>
        <w:t>Página 1 de 1</w:t>
      </w:r>
    </w:p>
    <w:p>
      <w:pPr>
        <w:spacing w:after="0"/>
        <w:jc w:val="left"/>
        <w:rPr>
          <w:rFonts w:ascii="Times New Roman" w:hAnsi="Times New Roman"/>
          <w:sz w:val="14"/>
        </w:rPr>
        <w:sectPr>
          <w:type w:val="continuous"/>
          <w:pgSz w:w="11900" w:h="16840"/>
          <w:pgMar w:top="760" w:bottom="280" w:left="1000" w:right="600"/>
          <w:cols w:num="2" w:equalWidth="0">
            <w:col w:w="5965" w:space="3149"/>
            <w:col w:w="1186"/>
          </w:cols>
        </w:sectPr>
      </w:pPr>
    </w:p>
    <w:p>
      <w:pPr>
        <w:pStyle w:val="BodyText"/>
        <w:spacing w:before="9"/>
        <w:rPr>
          <w:rFonts w:ascii="Times New Roman"/>
          <w:i/>
          <w:sz w:val="18"/>
        </w:rPr>
      </w:pPr>
    </w:p>
    <w:p>
      <w:pPr>
        <w:spacing w:before="94"/>
        <w:ind w:left="1048" w:right="0" w:firstLine="0"/>
        <w:jc w:val="left"/>
        <w:rPr>
          <w:rFonts w:ascii="Arial" w:hAnsi="Arial"/>
          <w:b/>
          <w:i/>
          <w:sz w:val="18"/>
        </w:rPr>
      </w:pPr>
      <w:r>
        <w:rPr/>
        <w:pict>
          <v:line style="position:absolute;mso-position-horizontal-relative:page;mso-position-vertical-relative:paragraph;z-index:-15984128" from="308.5pt,17.731922pt" to="308.5pt,582.73192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56pt,33.481922pt" to="56pt,49.98192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1200" from="559pt,33.481922pt" to="559pt,49.981922pt" stroked="true" strokeweight=".5pt" strokecolor="#000000">
            <v:stroke dashstyle="solid"/>
            <w10:wrap type="none"/>
          </v:line>
        </w:pict>
      </w:r>
      <w:r>
        <w:rPr>
          <w:rFonts w:ascii="Arial" w:hAnsi="Arial"/>
          <w:b/>
          <w:i/>
          <w:sz w:val="18"/>
        </w:rPr>
        <w:t>Demonstração da Receita e Despesa Segundo as Categorias Economicas - EXERCÍCIO DE 2023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6"/>
        <w:rPr>
          <w:rFonts w:ascii="Arial"/>
          <w:b/>
          <w:i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560"/>
        <w:gridCol w:w="1560"/>
        <w:gridCol w:w="1900"/>
        <w:gridCol w:w="1560"/>
        <w:gridCol w:w="1560"/>
      </w:tblGrid>
      <w:tr>
        <w:trPr>
          <w:trHeight w:val="310" w:hRule="atLeast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570"/>
              <w:rPr>
                <w:sz w:val="18"/>
              </w:rPr>
            </w:pPr>
            <w:r>
              <w:rPr>
                <w:sz w:val="18"/>
              </w:rPr>
              <w:t>RECEITA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639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641" w:right="64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534"/>
              <w:rPr>
                <w:sz w:val="18"/>
              </w:rPr>
            </w:pPr>
            <w:r>
              <w:rPr>
                <w:sz w:val="18"/>
              </w:rPr>
              <w:t>DESPESA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639" w:right="639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641" w:right="64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</w:p>
        </w:tc>
      </w:tr>
      <w:tr>
        <w:trPr>
          <w:trHeight w:val="461" w:hRule="atLeast"/>
        </w:trPr>
        <w:tc>
          <w:tcPr>
            <w:tcW w:w="19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1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 CORRENTES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ind w:left="1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 CORRENTES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920" w:type="dxa"/>
          </w:tcPr>
          <w:p>
            <w:pPr>
              <w:pStyle w:val="TableParagraph"/>
              <w:spacing w:line="134" w:lineRule="exact"/>
              <w:ind w:left="20"/>
              <w:rPr>
                <w:sz w:val="12"/>
              </w:rPr>
            </w:pPr>
            <w:r>
              <w:rPr>
                <w:sz w:val="12"/>
              </w:rPr>
              <w:t>Receita Tributária</w:t>
            </w:r>
          </w:p>
        </w:tc>
        <w:tc>
          <w:tcPr>
            <w:tcW w:w="1560" w:type="dxa"/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71.086.073,00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134" w:lineRule="exact"/>
              <w:ind w:left="40"/>
              <w:rPr>
                <w:sz w:val="12"/>
              </w:rPr>
            </w:pPr>
            <w:r>
              <w:rPr>
                <w:sz w:val="12"/>
              </w:rPr>
              <w:t>Pessoal Enc. Sociais</w:t>
            </w:r>
          </w:p>
        </w:tc>
        <w:tc>
          <w:tcPr>
            <w:tcW w:w="1560" w:type="dxa"/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228.388.296,76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Receita Contribuições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18.210.000,00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9"/>
              <w:ind w:left="40"/>
              <w:rPr>
                <w:sz w:val="12"/>
              </w:rPr>
            </w:pPr>
            <w:r>
              <w:rPr>
                <w:sz w:val="12"/>
              </w:rPr>
              <w:t>Juros Enc. Dividas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3.000.000,00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Receita Patrimonial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14.939.000,52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9"/>
              <w:ind w:left="40"/>
              <w:rPr>
                <w:sz w:val="12"/>
              </w:rPr>
            </w:pPr>
            <w:r>
              <w:rPr>
                <w:sz w:val="12"/>
              </w:rPr>
              <w:t>Outras Despesas Correntes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246.645.129,29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478.033.426,05</w:t>
            </w: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Receita Agropécuária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Receita Industrial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Receita de Serviços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2.975.922,00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Transf. Correntes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316.098.120,80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Outras Rec. Correntes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1.356.899,88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59"/>
              <w:rPr>
                <w:sz w:val="12"/>
              </w:rPr>
            </w:pPr>
            <w:r>
              <w:rPr>
                <w:sz w:val="12"/>
              </w:rPr>
              <w:t>Rec. Correntes Intra-Orçamentária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5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83.685.022,48</w:t>
            </w:r>
          </w:p>
        </w:tc>
        <w:tc>
          <w:tcPr>
            <w:tcW w:w="1560" w:type="dxa"/>
          </w:tcPr>
          <w:p>
            <w:pPr>
              <w:pStyle w:val="TableParagraph"/>
              <w:spacing w:before="39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508.351.038,68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1" w:hRule="atLeast"/>
        </w:trPr>
        <w:tc>
          <w:tcPr>
            <w:tcW w:w="1920" w:type="dxa"/>
          </w:tcPr>
          <w:p>
            <w:pPr>
              <w:pStyle w:val="TableParagraph"/>
              <w:spacing w:before="59"/>
              <w:ind w:left="20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Déficit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9"/>
              <w:ind w:right="38"/>
              <w:jc w:val="right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0,00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59"/>
              <w:ind w:left="40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Superávit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30.317.612,63</w:t>
            </w:r>
          </w:p>
        </w:tc>
      </w:tr>
      <w:tr>
        <w:trPr>
          <w:trHeight w:val="210" w:hRule="atLeast"/>
        </w:trPr>
        <w:tc>
          <w:tcPr>
            <w:tcW w:w="1920" w:type="dxa"/>
          </w:tcPr>
          <w:p>
            <w:pPr>
              <w:pStyle w:val="TableParagraph"/>
              <w:spacing w:line="132" w:lineRule="exact" w:before="58"/>
              <w:ind w:lef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508.351.038,68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8"/>
              <w:ind w:left="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right="-1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508.351.038,68</w:t>
            </w:r>
          </w:p>
        </w:tc>
      </w:tr>
      <w:tr>
        <w:trPr>
          <w:trHeight w:val="368" w:hRule="atLeast"/>
        </w:trPr>
        <w:tc>
          <w:tcPr>
            <w:tcW w:w="1920" w:type="dxa"/>
          </w:tcPr>
          <w:p>
            <w:pPr>
              <w:pStyle w:val="TableParagraph"/>
              <w:spacing w:before="78"/>
              <w:ind w:left="20"/>
              <w:rPr>
                <w:sz w:val="12"/>
              </w:rPr>
            </w:pPr>
            <w:r>
              <w:rPr>
                <w:sz w:val="12"/>
              </w:rPr>
              <w:t>Superávit do Orçamento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8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30.317.612,63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58"/>
              <w:ind w:left="40"/>
              <w:rPr>
                <w:sz w:val="12"/>
              </w:rPr>
            </w:pPr>
            <w:r>
              <w:rPr>
                <w:sz w:val="12"/>
              </w:rPr>
              <w:t>Déficit do Orçamento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593" w:hRule="atLeast"/>
        </w:trPr>
        <w:tc>
          <w:tcPr>
            <w:tcW w:w="5040" w:type="dxa"/>
            <w:gridSpan w:val="3"/>
          </w:tcPr>
          <w:p>
            <w:pPr>
              <w:pStyle w:val="TableParagraph"/>
              <w:spacing w:before="7"/>
              <w:rPr>
                <w:rFonts w:ascii="Arial"/>
                <w:b/>
                <w:i/>
                <w:sz w:val="14"/>
              </w:rPr>
            </w:pPr>
          </w:p>
          <w:p>
            <w:pPr>
              <w:pStyle w:val="TableParagraph"/>
              <w:ind w:left="1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 DE CAPITAL</w:t>
            </w:r>
          </w:p>
        </w:tc>
        <w:tc>
          <w:tcPr>
            <w:tcW w:w="5020" w:type="dxa"/>
            <w:gridSpan w:val="3"/>
          </w:tcPr>
          <w:p>
            <w:pPr>
              <w:pStyle w:val="TableParagraph"/>
              <w:spacing w:before="7"/>
              <w:rPr>
                <w:rFonts w:ascii="Arial"/>
                <w:b/>
                <w:i/>
                <w:sz w:val="14"/>
              </w:rPr>
            </w:pPr>
          </w:p>
          <w:p>
            <w:pPr>
              <w:pStyle w:val="TableParagraph"/>
              <w:ind w:left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DESPESAS DE CAPITAL</w:t>
            </w:r>
          </w:p>
        </w:tc>
      </w:tr>
      <w:tr>
        <w:trPr>
          <w:trHeight w:val="177" w:hRule="atLeast"/>
        </w:trPr>
        <w:tc>
          <w:tcPr>
            <w:tcW w:w="1920" w:type="dxa"/>
          </w:tcPr>
          <w:p>
            <w:pPr>
              <w:pStyle w:val="TableParagraph"/>
              <w:spacing w:line="134" w:lineRule="exact"/>
              <w:ind w:left="20"/>
              <w:rPr>
                <w:sz w:val="12"/>
              </w:rPr>
            </w:pPr>
            <w:r>
              <w:rPr>
                <w:sz w:val="12"/>
              </w:rPr>
              <w:t>Operações de Créditos</w:t>
            </w:r>
          </w:p>
        </w:tc>
        <w:tc>
          <w:tcPr>
            <w:tcW w:w="1560" w:type="dxa"/>
          </w:tcPr>
          <w:p>
            <w:pPr>
              <w:pStyle w:val="TableParagraph"/>
              <w:spacing w:line="134" w:lineRule="exact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134" w:lineRule="exact"/>
              <w:ind w:left="40"/>
              <w:rPr>
                <w:sz w:val="12"/>
              </w:rPr>
            </w:pPr>
            <w:r>
              <w:rPr>
                <w:sz w:val="12"/>
              </w:rPr>
              <w:t>Investimentos</w:t>
            </w:r>
          </w:p>
        </w:tc>
        <w:tc>
          <w:tcPr>
            <w:tcW w:w="1560" w:type="dxa"/>
          </w:tcPr>
          <w:p>
            <w:pPr>
              <w:pStyle w:val="TableParagraph"/>
              <w:spacing w:line="134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17.138.238,51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0" w:hRule="atLeast"/>
        </w:trPr>
        <w:tc>
          <w:tcPr>
            <w:tcW w:w="1920" w:type="dxa"/>
          </w:tcPr>
          <w:p>
            <w:pPr>
              <w:pStyle w:val="TableParagraph"/>
              <w:spacing w:before="39"/>
              <w:ind w:left="20"/>
              <w:rPr>
                <w:sz w:val="12"/>
              </w:rPr>
            </w:pPr>
            <w:r>
              <w:rPr>
                <w:sz w:val="12"/>
              </w:rPr>
              <w:t>Alienação de Bens</w:t>
            </w:r>
          </w:p>
        </w:tc>
        <w:tc>
          <w:tcPr>
            <w:tcW w:w="1560" w:type="dxa"/>
          </w:tcPr>
          <w:p>
            <w:pPr>
              <w:pStyle w:val="TableParagraph"/>
              <w:spacing w:before="3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620.752,00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9"/>
              <w:ind w:left="40"/>
              <w:rPr>
                <w:sz w:val="12"/>
              </w:rPr>
            </w:pPr>
            <w:r>
              <w:rPr>
                <w:sz w:val="12"/>
              </w:rPr>
              <w:t>Inversões Financeiras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3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Amortização Empréstimos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9"/>
              <w:ind w:left="40"/>
              <w:rPr>
                <w:sz w:val="12"/>
              </w:rPr>
            </w:pPr>
            <w:r>
              <w:rPr>
                <w:sz w:val="12"/>
              </w:rPr>
              <w:t>Amortização da Dívida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4.414.959,00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21.553.197,51</w:t>
            </w:r>
          </w:p>
        </w:tc>
      </w:tr>
      <w:tr>
        <w:trPr>
          <w:trHeight w:val="24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Transferências Capital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7.672.276,88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sz w:val="12"/>
              </w:rPr>
            </w:pPr>
            <w:r>
              <w:rPr>
                <w:sz w:val="12"/>
              </w:rPr>
              <w:t>Outras Rec. Capital</w:t>
            </w:r>
          </w:p>
        </w:tc>
        <w:tc>
          <w:tcPr>
            <w:tcW w:w="1560" w:type="dxa"/>
          </w:tcPr>
          <w:p>
            <w:pPr>
              <w:pStyle w:val="TableParagraph"/>
              <w:spacing w:before="4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1920" w:type="dxa"/>
          </w:tcPr>
          <w:p>
            <w:pPr>
              <w:pStyle w:val="TableParagraph"/>
              <w:spacing w:before="59"/>
              <w:ind w:left="20"/>
              <w:rPr>
                <w:sz w:val="12"/>
              </w:rPr>
            </w:pPr>
            <w:r>
              <w:rPr>
                <w:sz w:val="12"/>
              </w:rPr>
              <w:t>Rec. Capital Intra-Orçamentária</w:t>
            </w:r>
          </w:p>
        </w:tc>
        <w:tc>
          <w:tcPr>
            <w:tcW w:w="1560" w:type="dxa"/>
          </w:tcPr>
          <w:p>
            <w:pPr>
              <w:pStyle w:val="TableParagraph"/>
              <w:spacing w:before="59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59"/>
              <w:ind w:right="37"/>
              <w:jc w:val="right"/>
              <w:rPr>
                <w:sz w:val="12"/>
              </w:rPr>
            </w:pPr>
            <w:r>
              <w:rPr>
                <w:sz w:val="12"/>
              </w:rPr>
              <w:t>8.293.028,88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1920" w:type="dxa"/>
          </w:tcPr>
          <w:p>
            <w:pPr>
              <w:pStyle w:val="TableParagraph"/>
              <w:spacing w:before="49"/>
              <w:ind w:left="20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Déficit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3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9"/>
              <w:ind w:left="40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Superávit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49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17.057.444,00</w:t>
            </w:r>
          </w:p>
        </w:tc>
      </w:tr>
      <w:tr>
        <w:trPr>
          <w:trHeight w:val="210" w:hRule="atLeast"/>
        </w:trPr>
        <w:tc>
          <w:tcPr>
            <w:tcW w:w="1920" w:type="dxa"/>
          </w:tcPr>
          <w:p>
            <w:pPr>
              <w:pStyle w:val="TableParagraph"/>
              <w:spacing w:before="27"/>
              <w:ind w:lef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right="3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38.610.641,51</w:t>
            </w:r>
          </w:p>
        </w:tc>
        <w:tc>
          <w:tcPr>
            <w:tcW w:w="1900" w:type="dxa"/>
          </w:tcPr>
          <w:p>
            <w:pPr>
              <w:pStyle w:val="TableParagraph"/>
              <w:spacing w:before="27"/>
              <w:ind w:lef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8"/>
              <w:ind w:right="-1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38.610.641,51</w:t>
            </w: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2"/>
        <w:rPr>
          <w:rFonts w:ascii="Arial"/>
          <w:b/>
          <w:i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pt;margin-top:11.519531pt;width:504pt;height:22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137"/>
                    <w:ind w:left="4707" w:right="4707" w:firstLine="0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RESUMO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"/>
          <w:b/>
          <w:i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00" w:h="16840"/>
          <w:pgMar w:top="760" w:bottom="280" w:left="1000" w:right="600"/>
        </w:sectPr>
      </w:pPr>
    </w:p>
    <w:p>
      <w:pPr>
        <w:pStyle w:val="BodyText"/>
        <w:spacing w:before="49"/>
        <w:ind w:left="140"/>
      </w:pPr>
      <w:r>
        <w:rPr/>
        <w:t>RECEITAS CORRENTES</w:t>
      </w:r>
    </w:p>
    <w:p>
      <w:pPr>
        <w:pStyle w:val="BodyText"/>
        <w:spacing w:before="49"/>
        <w:ind w:left="140"/>
      </w:pPr>
      <w:r>
        <w:rPr/>
        <w:br w:type="column"/>
      </w:r>
      <w:r>
        <w:rPr/>
        <w:t>508.351.038,68</w:t>
      </w:r>
      <w:r>
        <w:rPr>
          <w:spacing w:val="65"/>
        </w:rPr>
        <w:t> </w:t>
      </w:r>
      <w:r>
        <w:rPr/>
        <w:t>DESPESAS CORRENTES</w:t>
      </w:r>
    </w:p>
    <w:p>
      <w:pPr>
        <w:pStyle w:val="BodyText"/>
        <w:spacing w:before="49"/>
        <w:ind w:left="140"/>
      </w:pPr>
      <w:r>
        <w:rPr/>
        <w:br w:type="column"/>
      </w:r>
      <w:r>
        <w:rPr/>
        <w:t>478.033.426,05</w:t>
      </w:r>
    </w:p>
    <w:p>
      <w:pPr>
        <w:spacing w:after="0"/>
        <w:sectPr>
          <w:type w:val="continuous"/>
          <w:pgSz w:w="11900" w:h="16840"/>
          <w:pgMar w:top="760" w:bottom="280" w:left="1000" w:right="600"/>
          <w:cols w:num="3" w:equalWidth="0">
            <w:col w:w="1567" w:space="2579"/>
            <w:col w:w="2548" w:space="2512"/>
            <w:col w:w="1094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4419" w:val="left" w:leader="none"/>
          <w:tab w:pos="9412" w:val="left" w:leader="none"/>
        </w:tabs>
        <w:spacing w:before="96"/>
        <w:ind w:left="140"/>
      </w:pPr>
      <w:r>
        <w:rPr/>
        <w:t>RECEITAS DE CAPITAL</w:t>
        <w:tab/>
        <w:t>8.293.028,88</w:t>
      </w:r>
      <w:r>
        <w:rPr>
          <w:spacing w:val="65"/>
        </w:rPr>
        <w:t> </w:t>
      </w:r>
      <w:r>
        <w:rPr/>
        <w:t>DESPESAS DE CAPITAL</w:t>
        <w:tab/>
        <w:t>21.553.197,51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4746" w:val="left" w:leader="none"/>
          <w:tab w:pos="9272" w:val="left" w:leader="none"/>
        </w:tabs>
        <w:spacing w:before="96"/>
        <w:ind w:right="117"/>
        <w:jc w:val="right"/>
      </w:pPr>
      <w:r>
        <w:rPr/>
        <w:t>DÉFICIT</w:t>
        <w:tab/>
        <w:t>0,00   RESERVA DE CONTIGENCIA</w:t>
        <w:tab/>
        <w:t>17.057.444,00</w:t>
      </w:r>
    </w:p>
    <w:p>
      <w:pPr>
        <w:pStyle w:val="BodyText"/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726" w:val="left" w:leader="none"/>
        </w:tabs>
        <w:ind w:right="118"/>
        <w:jc w:val="right"/>
      </w:pPr>
      <w:r>
        <w:rPr/>
        <w:t>SUPERÁVIT</w:t>
        <w:tab/>
        <w:t>0,00</w:t>
      </w:r>
    </w:p>
    <w:p>
      <w:pPr>
        <w:pStyle w:val="BodyText"/>
        <w:spacing w:before="1"/>
        <w:rPr>
          <w:sz w:val="9"/>
        </w:rPr>
      </w:pPr>
      <w:r>
        <w:rPr/>
        <w:pict>
          <v:shape style="position:absolute;margin-left:56pt;margin-top:7.424561pt;width:504pt;height:18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tabs>
                      <w:tab w:pos="4140" w:val="left" w:leader="none"/>
                      <w:tab w:pos="9240" w:val="left" w:leader="none"/>
                    </w:tabs>
                    <w:spacing w:before="97"/>
                    <w:ind w:left="15" w:right="-15" w:firstLine="0"/>
                    <w:jc w:val="left"/>
                    <w:rPr>
                      <w:sz w:val="12"/>
                    </w:rPr>
                  </w:pPr>
                  <w:r>
                    <w:rPr>
                      <w:sz w:val="14"/>
                    </w:rPr>
                    <w:t>TOTAL</w:t>
                    <w:tab/>
                  </w:r>
                  <w:r>
                    <w:rPr>
                      <w:position w:val="1"/>
                      <w:sz w:val="12"/>
                    </w:rPr>
                    <w:t>516.644.067,56</w:t>
                  </w:r>
                  <w:r>
                    <w:rPr>
                      <w:spacing w:val="65"/>
                      <w:position w:val="1"/>
                      <w:sz w:val="12"/>
                    </w:rPr>
                    <w:t> </w:t>
                  </w:r>
                  <w:r>
                    <w:rPr>
                      <w:sz w:val="14"/>
                    </w:rPr>
                    <w:t>TOTAL</w:t>
                    <w:tab/>
                  </w:r>
                  <w:r>
                    <w:rPr>
                      <w:position w:val="1"/>
                      <w:sz w:val="12"/>
                    </w:rPr>
                    <w:t>516.644.067,56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00" w:h="16840"/>
      <w:pgMar w:top="760" w:bottom="280" w:left="10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2"/>
      <w:ind w:left="1500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2022-11-30T17:36:08Z</dcterms:created>
  <dcterms:modified xsi:type="dcterms:W3CDTF">2022-11-30T17:36:08Z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JasperReports Library version 5.6.1</vt:lpwstr>
  </property>
  <property fmtid="{D5CDD505-2E9C-101B-9397-08002B2CF9AE}" pid="4" name="LastSaved">
    <vt:filetime>2022-11-30T00:00:00Z</vt:filetime>
  </property>
</Properties>
</file>